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生鲜供应商直送门店：总部接单分配、供方发货、门店实收与双方结算｜云上订货系统</w:t>
      </w:r>
    </w:p>
    <w:p>
      <w:pPr>
        <w:pStyle w:val="BodyText"/>
        <w:spacing w:after="60" w:line="324" w:lineRule="auto"/>
        <w:ind w:firstLine="420"/>
      </w:pPr>
      <w:r>
        <w:rPr>
          <w:rFonts w:ascii="Microsoft YaHei" w:hAnsi="Microsoft YaHei" w:eastAsia="Microsoft YaHei"/>
          <w:sz w:val="21"/>
        </w:rPr>
        <w:t>一个做餐饮门店配送的区域公司，可能没有足够冷链仓储，却掌握门店订单和供方资源。让供方直接把生鲜送到门店，能减少一次入仓、分拣和再配送；但总部不经手货，最怕“供方说送了十斤，门店只认九斤半”，总部仍按十斤向门店收款、按十斤向供方付款。直送解决的是物流路径，不会自动解决数量、质量、资金和交易责任。业务越大，若每个差异都靠采购员在微信里协调，区域公司失去的可能不止半斤货，而是对客户承诺与供方账款的控制。</w:t>
      </w:r>
    </w:p>
    <w:p>
      <w:pPr>
        <w:pStyle w:val="BodyText"/>
        <w:spacing w:after="60" w:line="324" w:lineRule="auto"/>
        <w:ind w:firstLine="420"/>
      </w:pPr>
      <w:r>
        <w:rPr>
          <w:rFonts w:ascii="Microsoft YaHei" w:hAnsi="Microsoft YaHei" w:eastAsia="Microsoft YaHei"/>
          <w:sz w:val="21"/>
        </w:rPr>
        <w:t>本文聚焦一个明确的购销场景：门店向总部下销售订单，总部向供应商下采购订单，供方直送门店，门店确认实际收货，总部按双方约定分别核销售与采购往来。若企业选择平台联营、服务费或代收分账，那是另一种合同和交易主体安排，不能只因采用“供应商直送”按钮就改变交易性质。以下用单品十斤、门店实收九点六斤的例子讲清两边怎样同步；数字只用于展示差异处理。</w:t>
      </w:r>
    </w:p>
    <w:p>
      <w:pPr>
        <w:pStyle w:val="Heading1"/>
        <w:keepNext/>
        <w:pageBreakBefore w:val="0"/>
        <w:spacing w:before="360" w:after="160"/>
      </w:pPr>
      <w:r>
        <w:rPr>
          <w:rFonts w:ascii="Microsoft YaHei" w:hAnsi="Microsoft YaHei" w:eastAsia="Microsoft YaHei"/>
          <w:sz w:val="32"/>
        </w:rPr>
        <w:t>先写清谁卖给门店、谁向供方采购，才谈直送提效</w:t>
      </w:r>
    </w:p>
    <w:p>
      <w:pPr>
        <w:pStyle w:val="BodyText"/>
        <w:spacing w:after="60" w:line="324" w:lineRule="auto"/>
        <w:ind w:firstLine="420"/>
      </w:pPr>
      <w:r>
        <w:rPr>
          <w:rFonts w:ascii="Microsoft YaHei" w:hAnsi="Microsoft YaHei" w:eastAsia="Microsoft YaHei"/>
          <w:sz w:val="21"/>
        </w:rPr>
        <w:t>总部是销售主体时，门店报价、订单、退换货和收款承诺仍由总部负责；供方是总部的采购相对方，负责按采购约定的品级、数量、时间和温控送到指定门店。司机或供方把货交到店，只代表物流直接，不代表门店已与供方建立买卖关系。销售价与采购价可以不同，客户应收和供方应付也不能简单互相冲销。财务应能从门店销售订单找到采购单，再从采购单找到谁送货、门店签了多少和供方应付多少。</w:t>
      </w:r>
    </w:p>
    <w:p>
      <w:pPr>
        <w:pStyle w:val="BodyText"/>
        <w:spacing w:after="60" w:line="324" w:lineRule="auto"/>
        <w:ind w:firstLine="420"/>
      </w:pPr>
      <w:r>
        <w:rPr>
          <w:rFonts w:ascii="Microsoft YaHei" w:hAnsi="Microsoft YaHei" w:eastAsia="Microsoft YaHei"/>
          <w:sz w:val="21"/>
        </w:rPr>
        <w:t>企业第一次上线直送，先挑一个品类、一组门店和一两个愿意按单回传的供方。合同中确认短送、质量拒收、称重误差、退货运费及补送时限；系统中确认商品规格与单位、门店联系人和收货地址、供方账号及付款主体。若门店叫货用“箱”，供方称重用“斤”，而总部销售结算用“公斤”，须先确定换算与计价依据，不能让三套单位在签收后才对账。直送链路的难点是没有总部仓库替各方做共同验收，因此数据口径和证据要比自仓配送更严。</w:t>
      </w:r>
    </w:p>
    <w:p>
      <w:pPr>
        <w:pStyle w:val="Heading1"/>
        <w:keepNext/>
        <w:pageBreakBefore w:val="0"/>
        <w:spacing w:before="360" w:after="160"/>
      </w:pPr>
      <w:r>
        <w:rPr>
          <w:rFonts w:ascii="Microsoft YaHei" w:hAnsi="Microsoft YaHei" w:eastAsia="Microsoft YaHei"/>
          <w:sz w:val="32"/>
        </w:rPr>
        <w:t>总部接单后，按门店和供应商分出可追溯的采购任务</w:t>
      </w:r>
    </w:p>
    <w:p>
      <w:pPr>
        <w:pStyle w:val="BodyText"/>
        <w:spacing w:after="60" w:line="324" w:lineRule="auto"/>
        <w:ind w:firstLine="420"/>
      </w:pPr>
      <w:r>
        <w:rPr>
          <w:rFonts w:ascii="Microsoft YaHei" w:hAnsi="Microsoft YaHei" w:eastAsia="Microsoft YaHei"/>
          <w:sz w:val="21"/>
        </w:rPr>
        <w:t>门店A在手机商城订灯笼椒十斤，要求次日六点送达。总部先核客户订单是否有效、价格和账期是否已确认、商品与门店地址是否可由这家供应商覆盖；再生成关联该订单的采购明细，而不是给供方发一句“明天十斤椒”。若门店一单含三种商品、由两家供方分别送，采购可以拆成两张供方任务，但客户仍只看到自己原订单及各商品的交付状态。拆出的供方数量之和须等于客户订单的待供数量，不能因拆单出现重复采购或漏采。</w:t>
      </w:r>
    </w:p>
    <w:p>
      <w:pPr>
        <w:pStyle w:val="BodyText"/>
        <w:spacing w:after="60" w:line="324" w:lineRule="auto"/>
        <w:ind w:firstLine="420"/>
      </w:pPr>
      <w:r>
        <w:rPr>
          <w:rFonts w:ascii="Microsoft YaHei" w:hAnsi="Microsoft YaHei" w:eastAsia="Microsoft YaHei"/>
          <w:sz w:val="21"/>
        </w:rPr>
        <w:t>系统采购确认窗口有“总部入库”和“供应商直送客户”两条履约分支，直送时会按供应商拆采购单，并要求确认送货时间与关联客户订单。图中的实例商品只用来说明分支入口；它不表示供应商已接单或门店已签收。采购员点击确定前，仍要确认供方真正愿意按该售价和时间送货。供方未回复时，这笔采购应保留待确认状态，销售不能据此向客户承诺“已在路上”。</w:t>
      </w:r>
    </w:p>
    <w:p>
      <w:pPr>
        <w:keepNext/>
        <w:jc w:val="center"/>
      </w:pPr>
      <w:r>
        <w:drawing>
          <wp:inline xmlns:a="http://schemas.openxmlformats.org/drawingml/2006/main" xmlns:pic="http://schemas.openxmlformats.org/drawingml/2006/picture">
            <wp:extent cx="4754880" cy="3315903"/>
            <wp:docPr id="1" name="Picture 1" descr="采购订单生成确认界面显示总部入库与供应商直送客户两个履约分支" title="采购订单生成确认界面显示总部入库与供应商直送客户两个履约分支"/>
            <wp:cNvGraphicFramePr>
              <a:graphicFrameLocks noChangeAspect="1"/>
            </wp:cNvGraphicFramePr>
            <a:graphic>
              <a:graphicData uri="http://schemas.openxmlformats.org/drawingml/2006/picture">
                <pic:pic>
                  <pic:nvPicPr>
                    <pic:cNvPr id="0" name="SC000026R1.png"/>
                    <pic:cNvPicPr/>
                  </pic:nvPicPr>
                  <pic:blipFill>
                    <a:blip r:embed="rId11"/>
                    <a:stretch>
                      <a:fillRect/>
                    </a:stretch>
                  </pic:blipFill>
                  <pic:spPr>
                    <a:xfrm>
                      <a:off x="0" y="0"/>
                      <a:ext cx="4754880" cy="3315903"/>
                    </a:xfrm>
                    <a:prstGeom prst="rect"/>
                  </pic:spPr>
                </pic:pic>
              </a:graphicData>
            </a:graphic>
          </wp:inline>
        </w:drawing>
      </w:r>
    </w:p>
    <w:p>
      <w:pPr>
        <w:spacing w:after="200"/>
        <w:jc w:val="center"/>
      </w:pPr>
      <w:r>
        <w:rPr>
          <w:rFonts w:ascii="Microsoft YaHei" w:hAnsi="Microsoft YaHei" w:eastAsia="Microsoft YaHei"/>
          <w:color w:val="596C78"/>
          <w:sz w:val="18"/>
        </w:rPr>
        <w:t>图1：真实PC管理端界面体现直送采购与客户原订货单的关联入口；采购确认不等于供方实际发货。</w:t>
      </w:r>
    </w:p>
    <w:p>
      <w:pPr>
        <w:pStyle w:val="Heading1"/>
        <w:keepNext/>
        <w:pageBreakBefore w:val="0"/>
        <w:spacing w:before="360" w:after="160"/>
      </w:pPr>
      <w:r>
        <w:rPr>
          <w:rFonts w:ascii="Microsoft YaHei" w:hAnsi="Microsoft YaHei" w:eastAsia="Microsoft YaHei"/>
          <w:sz w:val="32"/>
        </w:rPr>
        <w:t>供方接单与直送发货，要把送货条件写到单上</w:t>
      </w:r>
    </w:p>
    <w:p>
      <w:pPr>
        <w:pStyle w:val="BodyText"/>
        <w:spacing w:after="60" w:line="324" w:lineRule="auto"/>
        <w:ind w:firstLine="420"/>
      </w:pPr>
      <w:r>
        <w:rPr>
          <w:rFonts w:ascii="Microsoft YaHei" w:hAnsi="Microsoft YaHei" w:eastAsia="Microsoft YaHei"/>
          <w:sz w:val="21"/>
        </w:rPr>
        <w:t>供应商收到的任务应包括商品规格、采购数量、送达门店、联系人、约定时间和质量要求；若鲜品可能按实际称重结算，还要约定包装皮重、称重工具及可接受误差。供方只确认“有货”，却没有确认几点到、什么等级，门店仍无法安排营业。供方接单后，如因天气或产地缺货只能送八斤，应先回传少送预计量，总部决定调另一供方、改交期或与门店协商，不能让司机自行用低等级商品补足十斤。</w:t>
      </w:r>
    </w:p>
    <w:p>
      <w:pPr>
        <w:pStyle w:val="BodyText"/>
        <w:spacing w:after="60" w:line="324" w:lineRule="auto"/>
        <w:ind w:firstLine="420"/>
      </w:pPr>
      <w:r>
        <w:rPr>
          <w:rFonts w:ascii="Microsoft YaHei" w:hAnsi="Microsoft YaHei" w:eastAsia="Microsoft YaHei"/>
          <w:sz w:val="21"/>
        </w:rPr>
        <w:t>供方可在手机端的直送订单详情里查看收货门店与商品明细，发货时记录配送方式、物流单号和配送说明。实际画面中展示了客户、收货人、地址和“直送整单发货”入口，这些字段能够帮助总部在货不经仓时追踪去向；但物流单号并不等于签收凭证。门店改地址后要在订单链路里同步供方，司机凭旧截图送错店，不能只要求客服事后手工改账。</w:t>
      </w:r>
    </w:p>
    <w:p>
      <w:pPr>
        <w:keepNext/>
        <w:jc w:val="center"/>
      </w:pPr>
      <w:r>
        <w:drawing>
          <wp:inline xmlns:a="http://schemas.openxmlformats.org/drawingml/2006/main" xmlns:pic="http://schemas.openxmlformats.org/drawingml/2006/picture">
            <wp:extent cx="1563364" cy="3383280"/>
            <wp:docPr id="2" name="Picture 2" descr="手机端供应商直送订单显示门店收货信息商品明细与发货填写项" title="手机端供应商直送订单显示门店收货信息商品明细与发货填写项"/>
            <wp:cNvGraphicFramePr>
              <a:graphicFrameLocks noChangeAspect="1"/>
            </wp:cNvGraphicFramePr>
            <a:graphic>
              <a:graphicData uri="http://schemas.openxmlformats.org/drawingml/2006/picture">
                <pic:pic>
                  <pic:nvPicPr>
                    <pic:cNvPr id="0" name="SC000026R2.png"/>
                    <pic:cNvPicPr/>
                  </pic:nvPicPr>
                  <pic:blipFill>
                    <a:blip r:embed="rId12"/>
                    <a:stretch>
                      <a:fillRect/>
                    </a:stretch>
                  </pic:blipFill>
                  <pic:spPr>
                    <a:xfrm>
                      <a:off x="0" y="0"/>
                      <a:ext cx="1563364" cy="3383280"/>
                    </a:xfrm>
                    <a:prstGeom prst="rect"/>
                  </pic:spPr>
                </pic:pic>
              </a:graphicData>
            </a:graphic>
          </wp:inline>
        </w:drawing>
      </w:r>
    </w:p>
    <w:p>
      <w:pPr>
        <w:spacing w:after="200"/>
        <w:jc w:val="center"/>
      </w:pPr>
      <w:r>
        <w:rPr>
          <w:rFonts w:ascii="Microsoft YaHei" w:hAnsi="Microsoft YaHei" w:eastAsia="Microsoft YaHei"/>
          <w:color w:val="596C78"/>
          <w:sz w:val="18"/>
        </w:rPr>
        <w:t>图2：真实手机管理画面用于说明供方发货前核对门店、地址、商品、数量和配送信息。</w:t>
      </w:r>
    </w:p>
    <w:p>
      <w:pPr>
        <w:pStyle w:val="BodyText"/>
        <w:spacing w:after="60" w:line="324" w:lineRule="auto"/>
        <w:ind w:firstLine="420"/>
      </w:pPr>
      <w:r>
        <w:rPr>
          <w:rFonts w:ascii="Microsoft YaHei" w:hAnsi="Microsoft YaHei" w:eastAsia="Microsoft YaHei"/>
          <w:sz w:val="21"/>
        </w:rPr>
        <w:t>门店若同时向多家供应商采购，总部应明确每家供方的送货窗口、门店验收人和异常联系人。蔬菜司机六点到、肉类七点到，门店接货人不能只在七点一次性点击“全单收齐”。给供方的采购任务与门店的销售承诺要能互相查找，但状态应各自记录：供方已发不等于门店已收，门店已收也不自动说明质量合格或财务已结算。</w:t>
      </w:r>
    </w:p>
    <w:p>
      <w:pPr>
        <w:pStyle w:val="Heading1"/>
        <w:keepNext/>
        <w:pageBreakBefore w:val="0"/>
        <w:spacing w:before="360" w:after="160"/>
      </w:pPr>
      <w:r>
        <w:rPr>
          <w:rFonts w:ascii="Microsoft YaHei" w:hAnsi="Microsoft YaHei" w:eastAsia="Microsoft YaHei"/>
          <w:sz w:val="32"/>
        </w:rPr>
        <w:t>门店以实收数确认，差异不能只在供方账上改一遍</w:t>
      </w:r>
    </w:p>
    <w:p>
      <w:pPr>
        <w:pStyle w:val="BodyText"/>
        <w:spacing w:after="60" w:line="324" w:lineRule="auto"/>
        <w:ind w:firstLine="420"/>
      </w:pPr>
      <w:r>
        <w:rPr>
          <w:rFonts w:ascii="Microsoft YaHei" w:hAnsi="Microsoft YaHei" w:eastAsia="Microsoft YaHei"/>
          <w:sz w:val="21"/>
        </w:rPr>
        <w:t>供方十斤灯笼椒送到店，门店称重得九点六斤。先确认是包装皮重、少送、运输损耗、质量挑拣还是称重工具不同；验收人应留称重照片、异常说明和确认时间。系统真实确认弹窗显示订单数量十斤变为最终收货九点六斤，并提示收货后数量不能再次修改、酒店订单数量和金额将按最终收货数量同步重算。因这一步影响销售和采购两侧金额，门店在点确认前要与供方司机核实，误操作要按售后或差异流程处理，不能随手覆盖历史。</w:t>
      </w:r>
    </w:p>
    <w:p>
      <w:pPr>
        <w:keepNext/>
        <w:jc w:val="center"/>
      </w:pPr>
      <w:r>
        <w:drawing>
          <wp:inline xmlns:a="http://schemas.openxmlformats.org/drawingml/2006/main" xmlns:pic="http://schemas.openxmlformats.org/drawingml/2006/picture">
            <wp:extent cx="4754880" cy="3241964"/>
            <wp:docPr id="3" name="Picture 3" descr="门店最终收货确认弹窗显示十斤改为九点六斤及同步重算提示" title="门店最终收货确认弹窗显示十斤改为九点六斤及同步重算提示"/>
            <wp:cNvGraphicFramePr>
              <a:graphicFrameLocks noChangeAspect="1"/>
            </wp:cNvGraphicFramePr>
            <a:graphic>
              <a:graphicData uri="http://schemas.openxmlformats.org/drawingml/2006/picture">
                <pic:pic>
                  <pic:nvPicPr>
                    <pic:cNvPr id="0" name="SC000026R3.png"/>
                    <pic:cNvPicPr/>
                  </pic:nvPicPr>
                  <pic:blipFill>
                    <a:blip r:embed="rId13"/>
                    <a:stretch>
                      <a:fillRect/>
                    </a:stretch>
                  </pic:blipFill>
                  <pic:spPr>
                    <a:xfrm>
                      <a:off x="0" y="0"/>
                      <a:ext cx="4754880" cy="3241964"/>
                    </a:xfrm>
                    <a:prstGeom prst="rect"/>
                  </pic:spPr>
                </pic:pic>
              </a:graphicData>
            </a:graphic>
          </wp:inline>
        </w:drawing>
      </w:r>
    </w:p>
    <w:p>
      <w:pPr>
        <w:spacing w:after="200"/>
        <w:jc w:val="center"/>
      </w:pPr>
      <w:r>
        <w:rPr>
          <w:rFonts w:ascii="Microsoft YaHei" w:hAnsi="Microsoft YaHei" w:eastAsia="Microsoft YaHei"/>
          <w:color w:val="596C78"/>
          <w:sz w:val="18"/>
        </w:rPr>
        <w:t>图3：实际系统提示最终收货数量影响门店订单与供方采购对应单据，确认前应核称重证据。</w:t>
      </w:r>
    </w:p>
    <w:p>
      <w:pPr>
        <w:pStyle w:val="BodyText"/>
        <w:spacing w:after="60" w:line="324" w:lineRule="auto"/>
        <w:ind w:firstLine="420"/>
      </w:pPr>
      <w:r>
        <w:rPr>
          <w:rFonts w:ascii="Microsoft YaHei" w:hAnsi="Microsoft YaHei" w:eastAsia="Microsoft YaHei"/>
          <w:sz w:val="21"/>
        </w:rPr>
        <w:t>假设销售价每斤16元、供货价每斤12元，十斤原单分别是160元销售额和120元采购额；若最终双方认可九点六斤，应按合同口径形成销售153.60元、采购115.20元，并处理多收的6.40元和多付的4.80元。若门店九点六斤全收，但总部对供方认定其中零点二斤不合格，要把客户实收、供方合格验收及责任差异分开记录，不能强迫两侧都改成同一个数量。账面毛利也要在退货、运费和损耗归属明确后才有意义。</w:t>
      </w:r>
    </w:p>
    <w:p>
      <w:pPr>
        <w:keepNext/>
        <w:jc w:val="center"/>
      </w:pPr>
      <w:r>
        <w:drawing>
          <wp:inline xmlns:a="http://schemas.openxmlformats.org/drawingml/2006/main" xmlns:pic="http://schemas.openxmlformats.org/drawingml/2006/picture">
            <wp:extent cx="4754880" cy="2748914"/>
            <wp:docPr id="4" name="Picture 4" descr="原订货十斤到门店实收九点六斤后分别核客户应收与供方应付的对账图" title="原订货十斤到门店实收九点六斤后分别核客户应收与供方应付的对账图"/>
            <wp:cNvGraphicFramePr>
              <a:graphicFrameLocks noChangeAspect="1"/>
            </wp:cNvGraphicFramePr>
            <a:graphic>
              <a:graphicData uri="http://schemas.openxmlformats.org/drawingml/2006/picture">
                <pic:pic>
                  <pic:nvPicPr>
                    <pic:cNvPr id="0" name="直送实收与双边金额核对.png"/>
                    <pic:cNvPicPr/>
                  </pic:nvPicPr>
                  <pic:blipFill>
                    <a:blip r:embed="rId14"/>
                    <a:stretch>
                      <a:fillRect/>
                    </a:stretch>
                  </pic:blipFill>
                  <pic:spPr>
                    <a:xfrm>
                      <a:off x="0" y="0"/>
                      <a:ext cx="4754880" cy="2748914"/>
                    </a:xfrm>
                    <a:prstGeom prst="rect"/>
                  </pic:spPr>
                </pic:pic>
              </a:graphicData>
            </a:graphic>
          </wp:inline>
        </w:drawing>
      </w:r>
    </w:p>
    <w:p>
      <w:pPr>
        <w:spacing w:after="200"/>
        <w:jc w:val="center"/>
      </w:pPr>
      <w:r>
        <w:rPr>
          <w:rFonts w:ascii="Microsoft YaHei" w:hAnsi="Microsoft YaHei" w:eastAsia="Microsoft YaHei"/>
          <w:color w:val="596C78"/>
          <w:sz w:val="18"/>
        </w:rPr>
        <w:t>图4：同一九点六斤实收在不同交易价格下形成不同应收与应付，差额按原单调整并保留责任证据。</w:t>
      </w:r>
    </w:p>
    <w:p>
      <w:pPr>
        <w:pStyle w:val="Heading1"/>
        <w:keepNext/>
        <w:pageBreakBefore w:val="0"/>
        <w:spacing w:before="360" w:after="160"/>
      </w:pPr>
      <w:r>
        <w:rPr>
          <w:rFonts w:ascii="Microsoft YaHei" w:hAnsi="Microsoft YaHei" w:eastAsia="Microsoft YaHei"/>
          <w:sz w:val="32"/>
        </w:rPr>
        <w:t>总部对账看两张单、两种价格、三类差异</w:t>
      </w:r>
    </w:p>
    <w:p>
      <w:pPr>
        <w:pStyle w:val="BodyText"/>
        <w:spacing w:after="60" w:line="324" w:lineRule="auto"/>
        <w:ind w:firstLine="420"/>
      </w:pPr>
      <w:r>
        <w:rPr>
          <w:rFonts w:ascii="Microsoft YaHei" w:hAnsi="Microsoft YaHei" w:eastAsia="Microsoft YaHei"/>
          <w:sz w:val="21"/>
        </w:rPr>
        <w:t>采购单详情保留关联订货单与总部审核、供方接单、直送发货、客户收货的状态线。这让财务能从门店原订单查到是哪家供方执行、哪天发货、门店谁收货；实际截图中的金额是另一笔业务，不能拿来证明本文十斤示例已结清。月底对账至少分三类差异：数量差异如少送或称重差异，质量差异如拒收或降级，资金差异如供方开票或客户付款跨期。把三类全归“未付款”会让采购与销售互相推诿。</w:t>
      </w:r>
    </w:p>
    <w:p>
      <w:pPr>
        <w:keepNext/>
        <w:jc w:val="center"/>
      </w:pPr>
      <w:r>
        <w:drawing>
          <wp:inline xmlns:a="http://schemas.openxmlformats.org/drawingml/2006/main" xmlns:pic="http://schemas.openxmlformats.org/drawingml/2006/picture">
            <wp:extent cx="4754880" cy="1657832"/>
            <wp:docPr id="5" name="Picture 5" descr="采购单详情页显示关联订货单直送方式与客户收货状态线" title="采购单详情页显示关联订货单直送方式与客户收货状态线"/>
            <wp:cNvGraphicFramePr>
              <a:graphicFrameLocks noChangeAspect="1"/>
            </wp:cNvGraphicFramePr>
            <a:graphic>
              <a:graphicData uri="http://schemas.openxmlformats.org/drawingml/2006/picture">
                <pic:pic>
                  <pic:nvPicPr>
                    <pic:cNvPr id="0" name="SC000026R4.png"/>
                    <pic:cNvPicPr/>
                  </pic:nvPicPr>
                  <pic:blipFill>
                    <a:blip r:embed="rId15"/>
                    <a:stretch>
                      <a:fillRect/>
                    </a:stretch>
                  </pic:blipFill>
                  <pic:spPr>
                    <a:xfrm>
                      <a:off x="0" y="0"/>
                      <a:ext cx="4754880" cy="1657832"/>
                    </a:xfrm>
                    <a:prstGeom prst="rect"/>
                  </pic:spPr>
                </pic:pic>
              </a:graphicData>
            </a:graphic>
          </wp:inline>
        </w:drawing>
      </w:r>
    </w:p>
    <w:p>
      <w:pPr>
        <w:spacing w:after="200"/>
        <w:jc w:val="center"/>
      </w:pPr>
      <w:r>
        <w:rPr>
          <w:rFonts w:ascii="Microsoft YaHei" w:hAnsi="Microsoft YaHei" w:eastAsia="Microsoft YaHei"/>
          <w:color w:val="596C78"/>
          <w:sz w:val="18"/>
        </w:rPr>
        <w:t>图5：真实采购详情用于回查供方任务与门店原订单；直送发货状态和最终实收状态必须分开核。</w:t>
      </w:r>
    </w:p>
    <w:p>
      <w:pPr>
        <w:pStyle w:val="BodyText"/>
        <w:spacing w:after="60" w:line="324" w:lineRule="auto"/>
        <w:ind w:firstLine="420"/>
      </w:pPr>
      <w:r>
        <w:rPr>
          <w:rFonts w:ascii="Microsoft YaHei" w:hAnsi="Microsoft YaHei" w:eastAsia="Microsoft YaHei"/>
          <w:sz w:val="21"/>
        </w:rPr>
        <w:t>财务应先沿订单明细核有效交付量，再按销售价与采购价分别确认客户应收和供方应付。若门店已付160元而最终只认153.60元，剩余是退款还是冲抵下笔订单，应依据客户约定处理；若供方已收120元而应付降为115.20元，应有供方确认的抵扣或退款依据。不能凭内部表格直接修改双方余额、却没有客户和供方可查的调整记录。账期客户还要把未收款与未交货区分：前者是信用风险，后者是履约风险，处理人不同。</w:t>
      </w:r>
    </w:p>
    <w:p>
      <w:pPr>
        <w:pStyle w:val="Heading1"/>
        <w:keepNext/>
        <w:pageBreakBefore w:val="0"/>
        <w:spacing w:before="360" w:after="160"/>
      </w:pPr>
      <w:r>
        <w:rPr>
          <w:rFonts w:ascii="Microsoft YaHei" w:hAnsi="Microsoft YaHei" w:eastAsia="Microsoft YaHei"/>
          <w:sz w:val="32"/>
        </w:rPr>
        <w:t>退货与拒收沿原销售、采购关系倒着走</w:t>
      </w:r>
    </w:p>
    <w:p>
      <w:pPr>
        <w:pStyle w:val="BodyText"/>
        <w:spacing w:after="60" w:line="324" w:lineRule="auto"/>
        <w:ind w:firstLine="420"/>
      </w:pPr>
      <w:r>
        <w:rPr>
          <w:rFonts w:ascii="Microsoft YaHei" w:hAnsi="Microsoft YaHei" w:eastAsia="Microsoft YaHei"/>
          <w:sz w:val="21"/>
        </w:rPr>
        <w:t>门店收货当天发现两斤变质，要先区分是未完成签收时直接拒收，还是已签收后发起退货。未签收应在确认实收前处理；已签收则沿原客户销售单建立退货或售后，再看供方是否接受采购退货、实物退到哪里、运费谁承担。系统真实采购退货界面显示关联原订货单、退货商品和待退款状态；画面不能说明所有直送售后都会自动生成采购退货，是否自动联动仍需按当前业务配置及试单验证。不能因为供方愿意补货，就直接删除客户原订单上的质量投诉。</w:t>
      </w:r>
    </w:p>
    <w:p>
      <w:pPr>
        <w:keepNext/>
        <w:jc w:val="center"/>
      </w:pPr>
      <w:r>
        <w:drawing>
          <wp:inline xmlns:a="http://schemas.openxmlformats.org/drawingml/2006/main" xmlns:pic="http://schemas.openxmlformats.org/drawingml/2006/picture">
            <wp:extent cx="4754880" cy="1858228"/>
            <wp:docPr id="6" name="Picture 6" descr="采购退货单显示关联订货单退货商品数量及退款状态" title="采购退货单显示关联订货单退货商品数量及退款状态"/>
            <wp:cNvGraphicFramePr>
              <a:graphicFrameLocks noChangeAspect="1"/>
            </wp:cNvGraphicFramePr>
            <a:graphic>
              <a:graphicData uri="http://schemas.openxmlformats.org/drawingml/2006/picture">
                <pic:pic>
                  <pic:nvPicPr>
                    <pic:cNvPr id="0" name="SC000026R5.png"/>
                    <pic:cNvPicPr/>
                  </pic:nvPicPr>
                  <pic:blipFill>
                    <a:blip r:embed="rId16"/>
                    <a:stretch>
                      <a:fillRect/>
                    </a:stretch>
                  </pic:blipFill>
                  <pic:spPr>
                    <a:xfrm>
                      <a:off x="0" y="0"/>
                      <a:ext cx="4754880" cy="1858228"/>
                    </a:xfrm>
                    <a:prstGeom prst="rect"/>
                  </pic:spPr>
                </pic:pic>
              </a:graphicData>
            </a:graphic>
          </wp:inline>
        </w:drawing>
      </w:r>
    </w:p>
    <w:p>
      <w:pPr>
        <w:spacing w:after="200"/>
        <w:jc w:val="center"/>
      </w:pPr>
      <w:r>
        <w:rPr>
          <w:rFonts w:ascii="Microsoft YaHei" w:hAnsi="Microsoft YaHei" w:eastAsia="Microsoft YaHei"/>
          <w:color w:val="596C78"/>
          <w:sz w:val="18"/>
        </w:rPr>
        <w:t>图6：直送售后仍需回到原销售与采购关系核退货数量、实物去向和双边退款。</w:t>
      </w:r>
    </w:p>
    <w:p>
      <w:pPr>
        <w:pStyle w:val="Heading1"/>
        <w:keepNext/>
        <w:pageBreakBefore w:val="0"/>
        <w:spacing w:before="360" w:after="160"/>
      </w:pPr>
      <w:r>
        <w:rPr>
          <w:rFonts w:ascii="Microsoft YaHei" w:hAnsi="Microsoft YaHei" w:eastAsia="Microsoft YaHei"/>
          <w:sz w:val="32"/>
        </w:rPr>
        <w:t>用三笔试单判断能否规模化直送</w:t>
      </w:r>
    </w:p>
    <w:p>
      <w:pPr>
        <w:pStyle w:val="BodyText"/>
        <w:spacing w:after="60" w:line="324" w:lineRule="auto"/>
        <w:ind w:firstLine="420"/>
      </w:pPr>
      <w:r>
        <w:rPr>
          <w:rFonts w:ascii="Microsoft YaHei" w:hAnsi="Microsoft YaHei" w:eastAsia="Microsoft YaHei"/>
          <w:sz w:val="21"/>
        </w:rPr>
        <w:t>第一笔做正常单：一门店、一供方、一种商品，记录销售十斤、采购十斤、供方发货、门店实收十斤、客户应收与供方应付。第二笔做短送单：供方发十斤、门店认九点六斤，检查两端金额是否按认可数量重算、供方是否看到差异、谁能关闭零点四斤。第三笔做质量退货单：门店已收后发现变质，检查销售售后、采购退货、物流逆向和两边资金是否仍沿原单可查。这三笔比演示“点击直送”更能说明企业是否具备扩张条件。</w:t>
      </w:r>
    </w:p>
    <w:p>
      <w:pPr>
        <w:pStyle w:val="BodyText"/>
        <w:spacing w:after="60" w:line="324" w:lineRule="auto"/>
        <w:ind w:firstLine="420"/>
      </w:pPr>
      <w:r>
        <w:rPr>
          <w:rFonts w:ascii="Microsoft YaHei" w:hAnsi="Microsoft YaHei" w:eastAsia="Microsoft YaHei"/>
          <w:sz w:val="21"/>
        </w:rPr>
        <w:t>试运行应挑连续一周真实订单，把销售、采购、供方、门店和财务每天看到的数量并排核对。管理者重点盯直送订单准时率、门店实收差异率、异常关闭天数、供方应付调整额和客户投诉复发率。若准时率提高却短送争议翻倍，企业只是把仓储成本转移成客服与财务成本；若新增门店很多但供方账款无法核对，扩张同样不可持续。指标不必复杂，但每一个都能追到原订单和处理人。</w:t>
      </w:r>
    </w:p>
    <w:p>
      <w:pPr>
        <w:pStyle w:val="BodyText"/>
        <w:spacing w:after="60" w:line="324" w:lineRule="auto"/>
        <w:ind w:firstLine="420"/>
      </w:pPr>
      <w:r>
        <w:rPr>
          <w:rFonts w:ascii="Microsoft YaHei" w:hAnsi="Microsoft YaHei" w:eastAsia="Microsoft YaHei"/>
          <w:sz w:val="21"/>
        </w:rPr>
        <w:t>直送适合供方稳定、门店能验货、配送路径清楚的商品与区域。供方能力不稳、客户只能接受一次统一收货或需要总部重新分拣配货时，可让供方先汇货到总部仓，再由总部统一配送；不应为了“轻资产”让门店被迫收三次货。区域公司可按商品和区域分配直送与仓配，但两条路径都必须有正式销售订单、可追溯采购、实际交付证据与双边对账。这样减少中转是真节省，而不是把看不见的差异留到月底。</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6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生鲜供应商直送门店：总部接单分配、供方发货、门店实收与双方结算｜云上订货系统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