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节庆酒类备货：品牌专区、预售锁单、礼盒组合和采购准备｜云上订货系统</w:t>
      </w:r>
    </w:p>
    <w:p>
      <w:pPr>
        <w:pStyle w:val="BodyText"/>
        <w:spacing w:after="160" w:line="348" w:lineRule="auto"/>
        <w:ind w:firstLine="420"/>
      </w:pPr>
      <w:r>
        <w:rPr>
          <w:rFonts w:ascii="Microsoft YaHei" w:hAnsi="Microsoft YaHei" w:eastAsia="Microsoft YaHei"/>
          <w:sz w:val="21"/>
        </w:rPr>
        <w:t>酒类批发商到了中秋、春节，常同时接到经销商整箱补货、企业客户礼赠和餐饮客户临时加单。销售看见“预订了五百箱”便催采购，仓库看见“还有两百箱”便继续承诺，最后可能出现同一品牌的区域配额已经用完、礼盒外包装不够、临期批次不适合送礼，却仍在商城接受节前到货订单。节庆备货的关键，不是把预计销量简单乘一个系数，而是把谁有权买、哪一批需求已经锁定、每种交付形态占用哪些实物、何时能够交付放在一张可核对的业务链上。</w:t>
      </w:r>
    </w:p>
    <w:p>
      <w:pPr>
        <w:pStyle w:val="BodyText"/>
        <w:spacing w:after="160" w:line="348" w:lineRule="auto"/>
        <w:ind w:firstLine="420"/>
      </w:pPr>
      <w:r>
        <w:rPr>
          <w:rFonts w:ascii="Microsoft YaHei" w:hAnsi="Microsoft YaHei" w:eastAsia="Microsoft YaHei"/>
          <w:sz w:val="21"/>
        </w:rPr>
        <w:t>下面以一个酒水批发商经营品牌A白酒为例：渠道客户预订整箱规格，企业客户购买双瓶礼盒；整箱按每箱六瓶换算，礼盒每套两瓶并需专用包装。所有数量用于演示判断方法，不代表系统自动处理品牌授权、锁定配额或拆解组合商品。云上订货的客户分组、商品和价格、商城订单、采购、库存、出库、收款等记录可以作为协同基础；授权期限、锁单口径、包装占用和批次分配，应根据企业的实际规则设置并用试单核验。</w:t>
      </w:r>
    </w:p>
    <w:p>
      <w:pPr>
        <w:pStyle w:val="Heading1"/>
        <w:keepNext/>
        <w:pageBreakBefore w:val="0"/>
        <w:spacing w:before="360" w:after="160"/>
      </w:pPr>
      <w:r>
        <w:rPr>
          <w:rFonts w:ascii="Microsoft YaHei" w:hAnsi="Microsoft YaHei" w:eastAsia="Microsoft YaHei"/>
          <w:sz w:val="32"/>
        </w:rPr>
        <w:t>先分清品牌、区域与客户资格，专区不能代替授权核验</w:t>
      </w:r>
    </w:p>
    <w:p>
      <w:pPr>
        <w:pStyle w:val="BodyText"/>
        <w:spacing w:after="160" w:line="348" w:lineRule="auto"/>
        <w:ind w:firstLine="420"/>
      </w:pPr>
      <w:r>
        <w:rPr>
          <w:rFonts w:ascii="Microsoft YaHei" w:hAnsi="Microsoft YaHei" w:eastAsia="Microsoft YaHei"/>
          <w:sz w:val="21"/>
        </w:rPr>
        <w:t>品牌方可能只授权企业在某些区域向指定渠道供货，也可能对线上展示价格、跨区销售、企业礼赠和餐饮渠道有不同约束。销售把品牌A全部商品放进一个“品牌专区”后，不能据此推断所有登录客户都能购买。运营先把客户分成区域经销商、终端门店、餐饮客户和企业礼赠客户，核对每类客户能看的商品、可下单单位、价格与交付地区。若一款宴席装只允许本地餐饮渠道订购，就不应因为它和普通零售装属于同一品牌而向异地经销商开放。</w:t>
      </w:r>
    </w:p>
    <w:p>
      <w:pPr>
        <w:pStyle w:val="BodyText"/>
        <w:spacing w:after="160" w:line="348" w:lineRule="auto"/>
        <w:ind w:firstLine="420"/>
      </w:pPr>
      <w:r>
        <w:rPr>
          <w:rFonts w:ascii="Microsoft YaHei" w:hAnsi="Microsoft YaHei" w:eastAsia="Microsoft YaHei"/>
          <w:sz w:val="21"/>
        </w:rPr>
        <w:t>正式发布前，品牌负责人需要保存授权主体、授权品类、地区、有效期和特殊价格约束；客户经理则核客户归属区域与协议状态。系统中的客户类型、可见商品范围及客户价格是执行这些业务规则的工具，但品牌授权本身仍要由企业取得并定期复核。授权到期或渠道政策改变时，应先暂停新订单的承诺并列出未履约订单，不能直接把商品下架后让原订单无人处理。</w:t>
      </w:r>
    </w:p>
    <w:p>
      <w:pPr>
        <w:keepNext/>
        <w:jc w:val="center"/>
      </w:pPr>
      <w:r>
        <w:drawing>
          <wp:inline xmlns:a="http://schemas.openxmlformats.org/drawingml/2006/main" xmlns:pic="http://schemas.openxmlformats.org/drawingml/2006/picture">
            <wp:extent cx="5806440" cy="3338703"/>
            <wp:docPr id="1" name="Picture 1" descr="品牌A按照客户类型与销售区域核对可见货盘和授权期限的矩阵图" title="品牌A按照客户类型与销售区域核对可见货盘和授权期限的矩阵图"/>
            <wp:cNvGraphicFramePr>
              <a:graphicFrameLocks noChangeAspect="1"/>
            </wp:cNvGraphicFramePr>
            <a:graphic>
              <a:graphicData uri="http://schemas.openxmlformats.org/drawingml/2006/picture">
                <pic:pic>
                  <pic:nvPicPr>
                    <pic:cNvPr id="0" name="酒类品牌区域货盘矩阵.png"/>
                    <pic:cNvPicPr/>
                  </pic:nvPicPr>
                  <pic:blipFill>
                    <a:blip r:embed="rId11"/>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图1：专区展示前逐格核客户资格、地区与货盘；“可见”与“可成交”还须受价格和授权期限约束。</w:t>
      </w:r>
    </w:p>
    <w:p>
      <w:pPr>
        <w:pStyle w:val="BodyText"/>
        <w:spacing w:after="160" w:line="348" w:lineRule="auto"/>
        <w:ind w:firstLine="420"/>
      </w:pPr>
      <w:r>
        <w:rPr>
          <w:rFonts w:ascii="Microsoft YaHei" w:hAnsi="Microsoft YaHei" w:eastAsia="Microsoft YaHei"/>
          <w:sz w:val="21"/>
        </w:rPr>
        <w:t>商品资料还要统一箱、瓶、礼盒三种口径。一箱六瓶，客户下单十箱是六十瓶；双瓶礼盒一百套是两百瓶，另需一百个专用包装。若供应商按箱报价、仓库按瓶盘存、商城礼盒按套售卖，经营人员不能直接相加“10＋100”得出需求。报价时要写清箱规、单瓶规格、礼盒构成、赠品、破损责任及是否含运费；否则客户看到的礼盒与仓库实际拣货清单容易分离。</w:t>
      </w:r>
    </w:p>
    <w:p>
      <w:pPr>
        <w:pStyle w:val="Heading1"/>
        <w:keepNext/>
        <w:pageBreakBefore w:val="0"/>
        <w:spacing w:before="360" w:after="160"/>
      </w:pPr>
      <w:r>
        <w:rPr>
          <w:rFonts w:ascii="Microsoft YaHei" w:hAnsi="Microsoft YaHei" w:eastAsia="Microsoft YaHei"/>
          <w:sz w:val="32"/>
        </w:rPr>
        <w:t>把预约、有效订单与已锁需求分层，避免用意向量抢采购配额</w:t>
      </w:r>
    </w:p>
    <w:p>
      <w:pPr>
        <w:pStyle w:val="BodyText"/>
        <w:spacing w:after="160" w:line="348" w:lineRule="auto"/>
        <w:ind w:firstLine="420"/>
      </w:pPr>
      <w:r>
        <w:rPr>
          <w:rFonts w:ascii="Microsoft YaHei" w:hAnsi="Microsoft YaHei" w:eastAsia="Microsoft YaHei"/>
          <w:sz w:val="21"/>
        </w:rPr>
        <w:t>节前业务员常在微信群收到“先给我留五十箱”的消息。如果没有截止时间与确认条件，这既不是可核采购的订单，也不该无限期占用本来可售的数量。企业应在活动页、合同或业务员告知中写清预售窗口、每客户上限、整箱或礼盒单位、收款或授信条件、可接受的交付日，以及变更取消规则。经销商有批准账期时，可以由额度和订单审核构成锁单条件；企业礼赠客户如果约定定金，则以订单与到款相互匹配为条件。不同客户可以有不同条件，但同一类客户要一致。</w:t>
      </w:r>
    </w:p>
    <w:p>
      <w:pPr>
        <w:pStyle w:val="BodyText"/>
        <w:spacing w:after="160" w:line="348" w:lineRule="auto"/>
        <w:ind w:firstLine="420"/>
      </w:pPr>
      <w:r>
        <w:rPr>
          <w:rFonts w:ascii="Microsoft YaHei" w:hAnsi="Microsoft YaHei" w:eastAsia="Microsoft YaHei"/>
          <w:sz w:val="21"/>
        </w:rPr>
        <w:t>例如本轮共收到渠道客户五百箱的申请，三百六十箱已通过价格和授信审核、六十箱已按约付款，另八十箱只是询价或待确认。首轮可执行需求是四百二十箱，而非五百箱。运营在截单时把订单编号、客户、品牌SKU、箱数、应付条件和承诺日期固定成首批清单；待确认的八十箱留在预测栏。后续新增需求走下一批，除非采购核实本批仍有未分配的货并经销售负责人调整分配记录。不能让先付定金的客户在发货前被临时口头预订挤掉。</w:t>
      </w:r>
    </w:p>
    <w:p>
      <w:pPr>
        <w:keepNext/>
        <w:jc w:val="center"/>
      </w:pPr>
      <w:r>
        <w:drawing>
          <wp:inline xmlns:a="http://schemas.openxmlformats.org/drawingml/2006/main" xmlns:pic="http://schemas.openxmlformats.org/drawingml/2006/picture">
            <wp:extent cx="5806440" cy="3338703"/>
            <wp:docPr id="2" name="Picture 2" descr="渠道预订五百箱经授信和付款核验后形成四百二十箱锁定需求的漏斗图" title="渠道预订五百箱经授信和付款核验后形成四百二十箱锁定需求的漏斗图"/>
            <wp:cNvGraphicFramePr>
              <a:graphicFrameLocks noChangeAspect="1"/>
            </wp:cNvGraphicFramePr>
            <a:graphic>
              <a:graphicData uri="http://schemas.openxmlformats.org/drawingml/2006/picture">
                <pic:pic>
                  <pic:nvPicPr>
                    <pic:cNvPr id="0" name="酒类预售锁单漏斗.png"/>
                    <pic:cNvPicPr/>
                  </pic:nvPicPr>
                  <pic:blipFill>
                    <a:blip r:embed="rId12"/>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图2：五百箱申请中仅四百二十箱满足本批事先公开的锁单条件；未确认的八十箱仍可跟进，但不计入已承诺供给。</w:t>
      </w:r>
    </w:p>
    <w:p>
      <w:pPr>
        <w:pStyle w:val="BodyText"/>
        <w:spacing w:after="160" w:line="348" w:lineRule="auto"/>
        <w:ind w:firstLine="420"/>
      </w:pPr>
      <w:r>
        <w:rPr>
          <w:rFonts w:ascii="Microsoft YaHei" w:hAnsi="Microsoft YaHei" w:eastAsia="Microsoft YaHei"/>
          <w:sz w:val="21"/>
        </w:rPr>
        <w:t>商城订单、员工代客下单及收款记录应能回查同一客户的最终商品、数量、价格与已付款。没有经过实际租户验证的“自动冻结品牌配额”功能，不应写进客户承诺；采购与销售可以先用同一份经复核的首批锁单清单管理配额。每天截单后如有取消、退订、额度收回，要记原订单和释放的数量，避免看见一笔退款就把数量重新售卖，却忘了仓库已有拣货或供应商已按原量排产。</w:t>
      </w:r>
    </w:p>
    <w:p>
      <w:pPr>
        <w:pStyle w:val="Heading1"/>
        <w:keepNext/>
        <w:pageBreakBefore w:val="0"/>
        <w:spacing w:before="360" w:after="160"/>
      </w:pPr>
      <w:r>
        <w:rPr>
          <w:rFonts w:ascii="Microsoft YaHei" w:hAnsi="Microsoft YaHei" w:eastAsia="Microsoft YaHei"/>
          <w:sz w:val="32"/>
        </w:rPr>
        <w:t>把锁单换算成瓶与包装，再决定向品牌方订多少货</w:t>
      </w:r>
    </w:p>
    <w:p>
      <w:pPr>
        <w:pStyle w:val="BodyText"/>
        <w:spacing w:after="160" w:line="348" w:lineRule="auto"/>
        <w:ind w:firstLine="420"/>
      </w:pPr>
      <w:r>
        <w:rPr>
          <w:rFonts w:ascii="Microsoft YaHei" w:hAnsi="Microsoft YaHei" w:eastAsia="Microsoft YaHei"/>
          <w:sz w:val="21"/>
        </w:rPr>
        <w:t>需求汇总不能只看整箱预订单。假设已锁渠道需求四百二十箱，即二千五百二十瓶；同一品牌另有企业客户已锁双瓶礼盒一百八十套，即三百六十瓶。本轮总瓶数需求为二千八百八十瓶，但两类订单交付形态不同：渠道箱需要完整外箱和箱码，礼盒需要一百八十个专用盒、衬垫和相应的礼赠资料。仓库现有合格可用整箱一百箱、散瓶二百四十瓶、专用礼盒一百五十个。整箱与散瓶如果批次、标签或渠道规则不允许互换，就不能简单合并成八百四十瓶“通用库存”。</w:t>
      </w:r>
    </w:p>
    <w:p>
      <w:pPr>
        <w:pStyle w:val="BodyText"/>
        <w:spacing w:after="160" w:line="348" w:lineRule="auto"/>
        <w:ind w:firstLine="420"/>
      </w:pPr>
      <w:r>
        <w:rPr>
          <w:rFonts w:ascii="Microsoft YaHei" w:hAnsi="Microsoft YaHei" w:eastAsia="Microsoft YaHei"/>
          <w:sz w:val="21"/>
        </w:rPr>
        <w:t>品牌方本轮给渠道整箱配额三百四十箱。渠道四百二十箱锁单减去仓库可用一百箱，采购缺口三百二十箱；配额三百四十箱覆盖这一缺口，但要核到货日与可售批次。礼盒一百八十套需要三百六十瓶和一百八十个包装。散瓶二百四十瓶可做一百二十套，礼盒包装一百五十个最多装一百五十套，因此先缺一百二十瓶、三十个盒。若采购到的整箱允许拆箱用于礼盒，必须先评估渠道箱履约余量、品牌规则和箱码追溯，再决定从余下配额拆用；不能让礼盒促销吞掉经销商已经锁定的整箱承诺。</w:t>
      </w:r>
    </w:p>
    <w:p>
      <w:pPr>
        <w:keepNext/>
        <w:jc w:val="center"/>
      </w:pPr>
      <w:r>
        <w:drawing>
          <wp:inline xmlns:a="http://schemas.openxmlformats.org/drawingml/2006/main" xmlns:pic="http://schemas.openxmlformats.org/drawingml/2006/picture">
            <wp:extent cx="5806440" cy="3338703"/>
            <wp:docPr id="3" name="Picture 3" descr="四百二十箱渠道订单与一百八十套双瓶礼盒分别计算箱瓶包装和采购缺口" title="四百二十箱渠道订单与一百八十套双瓶礼盒分别计算箱瓶包装和采购缺口"/>
            <wp:cNvGraphicFramePr>
              <a:graphicFrameLocks noChangeAspect="1"/>
            </wp:cNvGraphicFramePr>
            <a:graphic>
              <a:graphicData uri="http://schemas.openxmlformats.org/drawingml/2006/picture">
                <pic:pic>
                  <pic:nvPicPr>
                    <pic:cNvPr id="0" name="酒类箱瓶礼盒齐套计算.png"/>
                    <pic:cNvPicPr/>
                  </pic:nvPicPr>
                  <pic:blipFill>
                    <a:blip r:embed="rId13"/>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图3：整箱与礼盒分别核供给；礼盒同时受可用瓶数和包装数量约束，整箱余量不能未经授权直接拆用。</w:t>
      </w:r>
    </w:p>
    <w:p>
      <w:pPr>
        <w:pStyle w:val="BodyText"/>
        <w:spacing w:after="160" w:line="348" w:lineRule="auto"/>
        <w:ind w:firstLine="420"/>
      </w:pPr>
      <w:r>
        <w:rPr>
          <w:rFonts w:ascii="Microsoft YaHei" w:hAnsi="Microsoft YaHei" w:eastAsia="Microsoft YaHei"/>
          <w:sz w:val="21"/>
        </w:rPr>
        <w:t>采购员应把缺口拆成品牌SKU、箱规或瓶规、批次要求、包装物、合格到仓时刻和最晚可改期时刻，分别向品牌方、包装商确认。采购单数量只是订货，不是可发库存；到仓后还要验瓶盖、封签、外箱、批号、礼盒印刷、破损及效期。客户要节前收货，物流需要两天、仓库装箱质检一天，就要从客户收货日倒推物料最晚到仓日。供应商口头说“节前到”不足以支持向客户承诺具体日期。</w:t>
      </w:r>
    </w:p>
    <w:p>
      <w:pPr>
        <w:pStyle w:val="Heading1"/>
        <w:keepNext/>
        <w:pageBreakBefore w:val="0"/>
        <w:spacing w:before="360" w:after="160"/>
      </w:pPr>
      <w:r>
        <w:rPr>
          <w:rFonts w:ascii="Microsoft YaHei" w:hAnsi="Microsoft YaHei" w:eastAsia="Microsoft YaHei"/>
          <w:sz w:val="32"/>
        </w:rPr>
        <w:t>到货分配按原承诺执行，分批发货也要保留箱码与责任</w:t>
      </w:r>
    </w:p>
    <w:p>
      <w:pPr>
        <w:pStyle w:val="BodyText"/>
        <w:spacing w:after="160" w:line="348" w:lineRule="auto"/>
        <w:ind w:firstLine="420"/>
      </w:pPr>
      <w:r>
        <w:rPr>
          <w:rFonts w:ascii="Microsoft YaHei" w:hAnsi="Microsoft YaHei" w:eastAsia="Microsoft YaHei"/>
          <w:sz w:val="21"/>
        </w:rPr>
        <w:t>到货后，仓库先分清三种数：采购在途、已到待验、合格可用。前两者不能用于当日出库。若品牌方先到二百箱、第二批一百二十箱仍在运输途中，销售只能按首批合格可用量和客户约定优先级安排发货。分配规则最好在预售前写明：已支付或已通过账期审批的客户优先，节庆档期明确的企业客户优先，并兼顾区域授权和车辆线路。具体优先级可以由企业决定，但不能由当天拣货员临场选熟人客户。</w:t>
      </w:r>
    </w:p>
    <w:p>
      <w:pPr>
        <w:pStyle w:val="BodyText"/>
        <w:spacing w:after="160" w:line="348" w:lineRule="auto"/>
        <w:ind w:firstLine="420"/>
      </w:pPr>
      <w:r>
        <w:rPr>
          <w:rFonts w:ascii="Microsoft YaHei" w:hAnsi="Microsoft YaHei" w:eastAsia="Microsoft YaHei"/>
          <w:sz w:val="21"/>
        </w:rPr>
        <w:t>节庆酒类还涉及批次与溯源。仓库对整箱出库记录对应客户、原订单、发货箱数、批次或箱码；拆箱做礼盒时，需保留原瓶批次与礼盒成品的对应关系。分批发货不能把原订单改成一个笼统“已发货”：同一客户订四十箱，首车二十五箱、次车十五箱，应在原业务记录中分别可查本批发出、客户实收、剩余待发、下批承诺和破损差异。客户收到了二十三箱并拒收两箱，与“发出二十五箱”不是同一个完成结果。</w:t>
      </w:r>
    </w:p>
    <w:p>
      <w:pPr>
        <w:keepNext/>
        <w:jc w:val="center"/>
      </w:pPr>
      <w:r>
        <w:drawing>
          <wp:inline xmlns:a="http://schemas.openxmlformats.org/drawingml/2006/main" xmlns:pic="http://schemas.openxmlformats.org/drawingml/2006/picture">
            <wp:extent cx="5806440" cy="3338703"/>
            <wp:docPr id="4" name="Picture 4" descr="酒类预售从锁单到分批到货、出库与客户签收的节点和异常返回图" title="酒类预售从锁单到分批到货、出库与客户签收的节点和异常返回图"/>
            <wp:cNvGraphicFramePr>
              <a:graphicFrameLocks noChangeAspect="1"/>
            </wp:cNvGraphicFramePr>
            <a:graphic>
              <a:graphicData uri="http://schemas.openxmlformats.org/drawingml/2006/picture">
                <pic:pic>
                  <pic:nvPicPr>
                    <pic:cNvPr id="0" name="酒类节前履约时序.png"/>
                    <pic:cNvPicPr/>
                  </pic:nvPicPr>
                  <pic:blipFill>
                    <a:blip r:embed="rId14"/>
                    <a:stretch>
                      <a:fillRect/>
                    </a:stretch>
                  </pic:blipFill>
                  <pic:spPr>
                    <a:xfrm>
                      <a:off x="0" y="0"/>
                      <a:ext cx="5806440" cy="3338703"/>
                    </a:xfrm>
                    <a:prstGeom prst="rect"/>
                  </pic:spPr>
                </pic:pic>
              </a:graphicData>
            </a:graphic>
          </wp:inline>
        </w:drawing>
      </w:r>
    </w:p>
    <w:p>
      <w:pPr>
        <w:spacing w:after="200"/>
        <w:jc w:val="center"/>
      </w:pPr>
      <w:r>
        <w:rPr>
          <w:rFonts w:ascii="Microsoft YaHei" w:hAnsi="Microsoft YaHei" w:eastAsia="Microsoft YaHei"/>
          <w:color w:val="596C78"/>
          <w:sz w:val="18"/>
        </w:rPr>
        <w:t>图4：每个节点保留原订单及箱数、瓶数或包装量；短到、破损与客户拒收回到待处理，不计入已完成交付。</w:t>
      </w:r>
    </w:p>
    <w:p>
      <w:pPr>
        <w:pStyle w:val="BodyText"/>
        <w:spacing w:after="160" w:line="348" w:lineRule="auto"/>
        <w:ind w:firstLine="420"/>
      </w:pPr>
      <w:r>
        <w:rPr>
          <w:rFonts w:ascii="Microsoft YaHei" w:hAnsi="Microsoft YaHei" w:eastAsia="Microsoft YaHei"/>
          <w:sz w:val="21"/>
        </w:rPr>
        <w:t>可用系统的采购、入库、销售出库和订单履约记录连接上述节点；如租户未配置箱码扫描或礼盒拆装记录，应安排明确的仓库交接表和复核人，不能在文章里暗示这些环节会自动完成。客户手机商城里的订单明细和物流状态可帮助客户核对进度，业务员应优先引导客户按原单查；若某类酒类批次码仅存在于纸质单据，客服也要有可查询的对应关系，而不是让客户拍照片再重新查一遍。</w:t>
      </w:r>
    </w:p>
    <w:p>
      <w:pPr>
        <w:pStyle w:val="Heading1"/>
        <w:keepNext/>
        <w:pageBreakBefore w:val="0"/>
        <w:spacing w:before="360" w:after="160"/>
      </w:pPr>
      <w:r>
        <w:rPr>
          <w:rFonts w:ascii="Microsoft YaHei" w:hAnsi="Microsoft YaHei" w:eastAsia="Microsoft YaHei"/>
          <w:sz w:val="32"/>
        </w:rPr>
        <w:t>配额不足、涨价或包装延误时，分开处理已锁单与新需求</w:t>
      </w:r>
    </w:p>
    <w:p>
      <w:pPr>
        <w:pStyle w:val="BodyText"/>
        <w:spacing w:after="160" w:line="348" w:lineRule="auto"/>
        <w:ind w:firstLine="420"/>
      </w:pPr>
      <w:r>
        <w:rPr>
          <w:rFonts w:ascii="Microsoft YaHei" w:hAnsi="Microsoft YaHei" w:eastAsia="Microsoft YaHei"/>
          <w:sz w:val="21"/>
        </w:rPr>
        <w:t>供方在截单后通知配额从三百四十箱降至二百八十箱，渠道采购缺口三百二十箱立即出现四十箱缺口。正确顺序是先确认通知与到货批次，暂停新单的节前承诺，列出已锁客户中受影响的订单和可用现货，再逐笔协商替代品牌、延后批次或按约退款。不能仅把商城库存改成零，就以为已承诺的四十箱问题消失。若客户接受替代，订单商品、价格、品牌授权与收款差额都需重新确认；销售不能未经同意把高端款换成普通款。</w:t>
      </w:r>
    </w:p>
    <w:p>
      <w:pPr>
        <w:pStyle w:val="BodyText"/>
        <w:spacing w:after="160" w:line="348" w:lineRule="auto"/>
        <w:ind w:firstLine="420"/>
      </w:pPr>
      <w:r>
        <w:rPr>
          <w:rFonts w:ascii="Microsoft YaHei" w:hAnsi="Microsoft YaHei" w:eastAsia="Microsoft YaHei"/>
          <w:sz w:val="21"/>
        </w:rPr>
        <w:t>若品牌方涨价，采购应算清已锁单按原成交价履约后的毛利，经营者决定是否承担差额；已锁客户能否调价取决于合同和活动约定，不能用后台更新销售价覆盖旧订单。新订单可以按有效报价重新定价并展示给客户。包装商晚到三十个盒时，能先交一百五十套礼盒，但剩余三十套究竟延期、改包装还是退款，要与相关客户逐笔确认。原已收定金、优惠券抵扣、应收尾款与最终交付量需要对上，不能用一笔总退款模糊覆盖所有订单。</w:t>
      </w:r>
    </w:p>
    <w:p>
      <w:pPr>
        <w:pStyle w:val="BodyText"/>
        <w:spacing w:after="160" w:line="348" w:lineRule="auto"/>
        <w:ind w:firstLine="420"/>
      </w:pPr>
      <w:r>
        <w:rPr>
          <w:rFonts w:ascii="Microsoft YaHei" w:hAnsi="Microsoft YaHei" w:eastAsia="Microsoft YaHei"/>
          <w:sz w:val="21"/>
        </w:rPr>
        <w:t>财务在档期结束后按订单核实：已锁数量、实际发货、客户签收、退货破损、到款与应收是否一致。采购与品牌方对账则看承诺配额、实到合格数、缺货补偿及价格保护；包装商按合格盒数而非发出盒数结算。如果客户跨节日才收到替代货，客服还需核是否发生促销差价、礼赠失效或取消订单的额外损失。节庆业务的“卖完”只有与准时交付和真实毛利同时成立，才算成功。</w:t>
      </w:r>
    </w:p>
    <w:p>
      <w:pPr>
        <w:pStyle w:val="Heading1"/>
        <w:keepNext/>
        <w:pageBreakBefore w:val="0"/>
        <w:spacing w:before="360" w:after="160"/>
      </w:pPr>
      <w:r>
        <w:rPr>
          <w:rFonts w:ascii="Microsoft YaHei" w:hAnsi="Microsoft YaHei" w:eastAsia="Microsoft YaHei"/>
          <w:sz w:val="32"/>
        </w:rPr>
        <w:t>先做一轮小规模品牌预售，再复制到多品牌节庆货盘</w:t>
      </w:r>
    </w:p>
    <w:p>
      <w:pPr>
        <w:pStyle w:val="BodyText"/>
        <w:spacing w:after="160" w:line="348" w:lineRule="auto"/>
        <w:ind w:firstLine="420"/>
      </w:pPr>
      <w:r>
        <w:rPr>
          <w:rFonts w:ascii="Microsoft YaHei" w:hAnsi="Microsoft YaHei" w:eastAsia="Microsoft YaHei"/>
          <w:sz w:val="21"/>
        </w:rPr>
        <w:t>试运行可从一个品牌、一个授权区域、两类客户和两种交付形态开始：一类经销商整箱补货，一类企业客户双瓶礼盒。先找出该品牌现有代理规则和供方配额，选一个可控的截单日期，再让客户经理分别做一笔手机商城下单和一笔代客下单；财务核付款或账期条件，采购将已锁需求换成箱、瓶、盒三个数量，仓库检查现货、在途与到货验收，客服测试客户能否查到自己的交付状态。这样一轮下来，团队会知道哪些动作已有系统记录，哪些仍靠人工复核。</w:t>
      </w:r>
    </w:p>
    <w:p>
      <w:pPr>
        <w:pStyle w:val="BodyText"/>
        <w:spacing w:after="160" w:line="348" w:lineRule="auto"/>
        <w:ind w:firstLine="420"/>
      </w:pPr>
      <w:r>
        <w:rPr>
          <w:rFonts w:ascii="Microsoft YaHei" w:hAnsi="Microsoft YaHei" w:eastAsia="Microsoft YaHei"/>
          <w:sz w:val="21"/>
        </w:rPr>
        <w:t>演练必须包括至少两种故障：第一种是已锁四百二十箱而品牌方只确认二百八十箱配额，检查谁暂停新承诺、谁通知客户、谁登记差额；第二种是礼盒包装晚到三十个，检查仓库会不会误把三百六十瓶全部视为可交付一百八十套。如果演练只能靠群聊截图解释，不知道原订单、客户和缺口对应关系，就不要扩大到更多品牌。系统配置应围绕已暴露的断点逐项补齐，而不是先把全部商品和客户迁入后才测试。</w:t>
      </w:r>
    </w:p>
    <w:p>
      <w:pPr>
        <w:pStyle w:val="BodyText"/>
        <w:spacing w:after="160" w:line="348" w:lineRule="auto"/>
        <w:ind w:firstLine="420"/>
      </w:pPr>
      <w:r>
        <w:rPr>
          <w:rFonts w:ascii="Microsoft YaHei" w:hAnsi="Microsoft YaHei" w:eastAsia="Microsoft YaHei"/>
          <w:sz w:val="21"/>
        </w:rPr>
        <w:t>经营者每晚看四组指标即可作决策。第一，已锁订单按品牌SKU、箱瓶口径与有效配额的差额，判断还可不可以接单；第二，礼盒最短组件齐套数与客户承诺套数的差额，决定需不需要采购包装或改档期；第三，按约到仓、按约发出和客户实收的数量差，分清供方、仓库或配送责任；第四，每张订单的成交价、采购成本、优惠、破损退款和回款，判断忙了一季是否留下毛利与现金。把这些结果与预售时保存的规则和订单版本对上，比只看商城订单总额更能保护节庆旺季利润。</w:t>
      </w:r>
    </w:p>
    <w:p>
      <w:pPr>
        <w:pStyle w:val="BodyText"/>
        <w:spacing w:after="160" w:line="348" w:lineRule="auto"/>
        <w:ind w:firstLine="420"/>
      </w:pPr>
      <w:r>
        <w:rPr>
          <w:rFonts w:ascii="Microsoft YaHei" w:hAnsi="Microsoft YaHei" w:eastAsia="Microsoft YaHei"/>
          <w:sz w:val="21"/>
        </w:rPr>
        <w:t>当一个品牌的一轮预售能从客户资格、原订单、锁单清单、品牌配额、包装齐套、采购到仓、分批出库直到签收收款追溯，才考虑复制到其他品牌。不同品牌的授权和配额可能完全不同，不能复制一张活动图就视为完成复制。下个档期前复盘上一轮的缺口出现在哪一环：授权核验、需求预测、包装准备、到货节奏，还是客户沟通。改规则时保留旧订单承诺，给新订单设新的生效日期，这样节庆预售才是可迭代的经营能力，而不是一次性促销。</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SC-000051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节庆酒类备货：品牌专区、预售锁单、礼盒组合和采购准备｜云上订货系统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