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粮油调料包装规格统一：袋、桶、瓶、箱从订货到结算一致｜云上订货系统</w:t>
      </w:r>
    </w:p>
    <w:p>
      <w:pPr>
        <w:pStyle w:val="BodyText"/>
        <w:spacing w:after="60" w:line="324" w:lineRule="auto"/>
        <w:ind w:firstLine="420"/>
      </w:pPr>
      <w:r>
        <w:rPr>
          <w:rFonts w:ascii="Microsoft YaHei" w:hAnsi="Microsoft YaHei" w:eastAsia="Microsoft YaHei"/>
          <w:sz w:val="21"/>
        </w:rPr>
        <w:t>给餐饮门店配送粮油调料时，一张订单可能同时写着“大米6袋、油3箱、酱油2箱”。采购员要向不同供应商订货，仓库可能按袋、桶、瓶记库存，财务却要按门店当时确认的袋价、箱价对账。如果只是把这些数量合成一个“11件”，每个岗位都要重新猜“件”是什么意思，少发、多购和账款差额就很容易被掩盖。统一包装规格的目标，是让每款商品有稳定的规格与换算关系，同时保留客户原来的订货和成交单位。</w:t>
      </w:r>
    </w:p>
    <w:p>
      <w:pPr>
        <w:pStyle w:val="BodyText"/>
        <w:spacing w:after="60" w:line="324" w:lineRule="auto"/>
        <w:ind w:firstLine="420"/>
      </w:pPr>
      <w:r>
        <w:rPr>
          <w:rFonts w:ascii="Microsoft YaHei" w:hAnsi="Microsoft YaHei" w:eastAsia="Microsoft YaHei"/>
          <w:sz w:val="21"/>
        </w:rPr>
        <w:t>本文用两家餐饮门店的同一批订单做演示：25公斤大米按袋订，5升食用油每箱4桶，500毫升酱油每箱12瓶。A门店要大米6袋、油3箱、酱油2箱；B门店要大米4袋、油2箱、酱油1箱。总需求应分别是大米10袋、油20桶、酱油36瓶，不能跨商品相加。示例数字用于说明业务口径，企业实际的箱规、客户成交价、批次和库存以现场资料为准。</w:t>
      </w:r>
    </w:p>
    <w:p>
      <w:pPr>
        <w:pStyle w:val="Heading1"/>
        <w:keepNext/>
        <w:pageBreakBefore w:val="0"/>
        <w:spacing w:before="360" w:after="160"/>
      </w:pPr>
      <w:r>
        <w:rPr>
          <w:rFonts w:ascii="Microsoft YaHei" w:hAnsi="Microsoft YaHei" w:eastAsia="Microsoft YaHei"/>
          <w:sz w:val="32"/>
        </w:rPr>
        <w:t>商品档案先回答“这到底是哪一种大米、油和酱油”</w:t>
      </w:r>
    </w:p>
    <w:p>
      <w:pPr>
        <w:pStyle w:val="BodyText"/>
        <w:spacing w:after="60" w:line="324" w:lineRule="auto"/>
        <w:ind w:firstLine="420"/>
      </w:pPr>
      <w:r>
        <w:rPr>
          <w:rFonts w:ascii="Microsoft YaHei" w:hAnsi="Microsoft YaHei" w:eastAsia="Microsoft YaHei"/>
          <w:sz w:val="21"/>
        </w:rPr>
        <w:t>大米的25公斤袋装与10公斤袋装，是两个需要明确区分的规格；食用油的5升桶与20升桶不能只写“桶”；酱油500毫升瓶与1升瓶即使品牌和图片相近，也不能混成一个库存。商品名称、规格、编号、基本单位、可订单位、换算系数和适用批次要能让销售、采购、仓库识别同一个实物。示例中大米按袋记基本数量，食用油按桶记基本数量，酱油按瓶记基本数量；“箱”分别是油和酱油自己的辅助单位，不是一种能跨商品换算的公共单位。</w:t>
      </w:r>
    </w:p>
    <w:p>
      <w:pPr>
        <w:keepNext/>
        <w:jc w:val="center"/>
      </w:pPr>
      <w:r>
        <w:drawing>
          <wp:inline xmlns:a="http://schemas.openxmlformats.org/drawingml/2006/main" xmlns:pic="http://schemas.openxmlformats.org/drawingml/2006/picture">
            <wp:extent cx="5806440" cy="3266122"/>
            <wp:docPr id="1" name="Picture 1" descr="大米食用油酱油三种商品分别锁定规格基本单位和常用订货单位" title="大米食用油酱油三种商品分别锁定规格基本单位和常用订货单位"/>
            <wp:cNvGraphicFramePr>
              <a:graphicFrameLocks noChangeAspect="1"/>
            </wp:cNvGraphicFramePr>
            <a:graphic>
              <a:graphicData uri="http://schemas.openxmlformats.org/drawingml/2006/picture">
                <pic:pic>
                  <pic:nvPicPr>
                    <pic:cNvPr id="0" name="粮油调料三种商品规格与单位.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图1：25公斤大米以袋计，5升油以桶计且每箱4桶，500毫升酱油以瓶计且每箱12瓶；不同容量和箱规须分别建档。</w:t>
      </w:r>
    </w:p>
    <w:p>
      <w:pPr>
        <w:pStyle w:val="BodyText"/>
        <w:spacing w:after="60" w:line="324" w:lineRule="auto"/>
        <w:ind w:firstLine="420"/>
      </w:pPr>
      <w:r>
        <w:rPr>
          <w:rFonts w:ascii="Microsoft YaHei" w:hAnsi="Microsoft YaHei" w:eastAsia="Microsoft YaHei"/>
          <w:sz w:val="21"/>
        </w:rPr>
        <w:t>供应商改包装时，先确认变化发生在何时、影响哪批货，再处理未完采购、门店订单和库存。比如油从4桶箱改成6桶箱，如果直接在旧规格上改换算系数，历史订单的3箱会从12桶变为18桶，报表看似增加了销量，仓库却没有多发货。稳妥做法是给新包装建立或启用能区别的新规格，核对旧单余量后再切换销售。临期、破损或批次与餐饮客户约定不符的货，也不能仅因为数量存在就认作可发库存。</w:t>
      </w:r>
    </w:p>
    <w:p>
      <w:pPr>
        <w:pStyle w:val="BodyText"/>
        <w:spacing w:after="60" w:line="324" w:lineRule="auto"/>
        <w:ind w:firstLine="420"/>
      </w:pPr>
      <w:r>
        <w:rPr>
          <w:rFonts w:ascii="Microsoft YaHei" w:hAnsi="Microsoft YaHei" w:eastAsia="Microsoft YaHei"/>
          <w:sz w:val="21"/>
        </w:rPr>
        <w:t>称重商品要单独判断。袋装米若供货承诺就是每袋25公斤，可按袋交付；散装米、散装调料或需现场称重的商品，其实际重量可能与预估不同，不能把“1袋=25公斤”强行套到所有商品。价格、实收和结算应沿实际计量方式处理，不让固定包装换算替代称重结果。</w:t>
      </w:r>
    </w:p>
    <w:p>
      <w:pPr>
        <w:pStyle w:val="Heading1"/>
        <w:keepNext/>
        <w:pageBreakBefore w:val="0"/>
        <w:spacing w:before="360" w:after="160"/>
      </w:pPr>
      <w:r>
        <w:rPr>
          <w:rFonts w:ascii="Microsoft YaHei" w:hAnsi="Microsoft YaHei" w:eastAsia="Microsoft YaHei"/>
          <w:sz w:val="32"/>
        </w:rPr>
        <w:t>配多单位时，先确认基本单位，再放开客户可订单位</w:t>
      </w:r>
    </w:p>
    <w:p>
      <w:pPr>
        <w:pStyle w:val="BodyText"/>
        <w:spacing w:after="60" w:line="324" w:lineRule="auto"/>
        <w:ind w:firstLine="420"/>
      </w:pPr>
      <w:r>
        <w:rPr>
          <w:rFonts w:ascii="Microsoft YaHei" w:hAnsi="Microsoft YaHei" w:eastAsia="Microsoft YaHei"/>
          <w:sz w:val="21"/>
        </w:rPr>
        <w:t>在商品多单位设置中，先选基础单位，再维护辅助单位和系数，并勾选允许客户使用的订货单位。系统真实界面中可见“基础单位：瓶”“辅助单位：箱＝12瓶”，以及瓶、箱两个可订单位。这个画面证明的是字段和操作口径；它并不是本篇大米、食用油或酱油的实际资料。给示例中的油配置时应是“基础单位桶，辅助单位箱＝4桶”；给酱油配置时则是“基础单位瓶，辅助单位箱＝12瓶”。</w:t>
      </w:r>
    </w:p>
    <w:p>
      <w:pPr>
        <w:keepNext/>
        <w:jc w:val="center"/>
      </w:pPr>
      <w:r>
        <w:drawing>
          <wp:inline xmlns:a="http://schemas.openxmlformats.org/drawingml/2006/main" xmlns:pic="http://schemas.openxmlformats.org/drawingml/2006/picture">
            <wp:extent cx="5806440" cy="4141927"/>
            <wp:docPr id="2" name="Picture 2" descr="PC管理端商品多单位设置中的基础单位辅助单位换算系数和可订货单位" title="PC管理端商品多单位设置中的基础单位辅助单位换算系数和可订货单位"/>
            <wp:cNvGraphicFramePr>
              <a:graphicFrameLocks noChangeAspect="1"/>
            </wp:cNvGraphicFramePr>
            <a:graphic>
              <a:graphicData uri="http://schemas.openxmlformats.org/drawingml/2006/picture">
                <pic:pic>
                  <pic:nvPicPr>
                    <pic:cNvPr id="0" name="SC000056S1.png"/>
                    <pic:cNvPicPr/>
                  </pic:nvPicPr>
                  <pic:blipFill>
                    <a:blip r:embed="rId12"/>
                    <a:stretch>
                      <a:fillRect/>
                    </a:stretch>
                  </pic:blipFill>
                  <pic:spPr>
                    <a:xfrm>
                      <a:off x="0" y="0"/>
                      <a:ext cx="5806440" cy="4141927"/>
                    </a:xfrm>
                    <a:prstGeom prst="rect"/>
                  </pic:spPr>
                </pic:pic>
              </a:graphicData>
            </a:graphic>
          </wp:inline>
        </w:drawing>
      </w:r>
    </w:p>
    <w:p>
      <w:pPr>
        <w:spacing w:after="200"/>
        <w:jc w:val="center"/>
      </w:pPr>
      <w:r>
        <w:rPr>
          <w:rFonts w:ascii="Microsoft YaHei" w:hAnsi="Microsoft YaHei" w:eastAsia="Microsoft YaHei"/>
          <w:color w:val="596C78"/>
          <w:sz w:val="18"/>
        </w:rPr>
        <w:t>图2：系统多单位设置画面展示基本单位、箱装系数和客户可订单位；画面为另一商品，不能把图中的12瓶误用为本篇食用油箱规。</w:t>
      </w:r>
    </w:p>
    <w:p>
      <w:pPr>
        <w:pStyle w:val="BodyText"/>
        <w:spacing w:after="60" w:line="324" w:lineRule="auto"/>
        <w:ind w:firstLine="420"/>
      </w:pPr>
      <w:r>
        <w:rPr>
          <w:rFonts w:ascii="Microsoft YaHei" w:hAnsi="Microsoft YaHei" w:eastAsia="Microsoft YaHei"/>
          <w:sz w:val="21"/>
        </w:rPr>
        <w:t>保存前用一张试单验证换算：门店选1箱油，仓库应对应4桶；门店选1箱酱油，仓库应对应12瓶。若显示为1桶、1瓶，先检查辅助单位和换算系数，不要继续批量导入商品或开放客户下单。商品编号重复、规格名称模糊、箱规漏填，或同一个箱装单位对应不同批次包装而未区分，都会在客户订货时表现成“页面能下单但数量对不上”。客户看到的箱价、桶价、瓶价可以分别维护；单位换算只负责实物数量，不会自动保证各种销售价之间存在固定倍数。</w:t>
      </w:r>
    </w:p>
    <w:p>
      <w:pPr>
        <w:pStyle w:val="Heading1"/>
        <w:keepNext/>
        <w:pageBreakBefore w:val="0"/>
        <w:spacing w:before="360" w:after="160"/>
      </w:pPr>
      <w:r>
        <w:rPr>
          <w:rFonts w:ascii="Microsoft YaHei" w:hAnsi="Microsoft YaHei" w:eastAsia="Microsoft YaHei"/>
          <w:sz w:val="32"/>
        </w:rPr>
        <w:t>保留两家门店的原单，再按每款商品汇总采购需求</w:t>
      </w:r>
    </w:p>
    <w:p>
      <w:pPr>
        <w:pStyle w:val="BodyText"/>
        <w:spacing w:after="60" w:line="324" w:lineRule="auto"/>
        <w:ind w:firstLine="420"/>
      </w:pPr>
      <w:r>
        <w:rPr>
          <w:rFonts w:ascii="Microsoft YaHei" w:hAnsi="Microsoft YaHei" w:eastAsia="Microsoft YaHei"/>
          <w:sz w:val="21"/>
        </w:rPr>
        <w:t>A门店原单是大米6袋、油3箱、酱油2箱；B门店是大米4袋、油2箱、酱油1箱。总部汇总时，大米为10袋；油5箱按每箱4桶折合20桶；酱油3箱按每箱12瓶折合36瓶。这三个汇总用于不同商品的采购与库存判断。门店原单仍显示6袋、3箱、2箱这样的承诺，仓库发货和财务对账才不会把“油20桶”误解释成“给A门店20桶”。</w:t>
      </w:r>
    </w:p>
    <w:p>
      <w:pPr>
        <w:keepNext/>
        <w:jc w:val="center"/>
      </w:pPr>
      <w:r>
        <w:drawing>
          <wp:inline xmlns:a="http://schemas.openxmlformats.org/drawingml/2006/main" xmlns:pic="http://schemas.openxmlformats.org/drawingml/2006/picture">
            <wp:extent cx="5806440" cy="3266122"/>
            <wp:docPr id="3" name="Picture 3" descr="A和B两家门店的粮油调料原订单与按各商品基本单位汇总数量" title="A和B两家门店的粮油调料原订单与按各商品基本单位汇总数量"/>
            <wp:cNvGraphicFramePr>
              <a:graphicFrameLocks noChangeAspect="1"/>
            </wp:cNvGraphicFramePr>
            <a:graphic>
              <a:graphicData uri="http://schemas.openxmlformats.org/drawingml/2006/picture">
                <pic:pic>
                  <pic:nvPicPr>
                    <pic:cNvPr id="0" name="粮油调料门店原单与基本数量汇总.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图3：总部按大米、食用油和酱油分别汇总为10袋、20桶、36瓶；客户原单保留袋或箱，金额仍按客户的实际成交单位核对。</w:t>
      </w:r>
    </w:p>
    <w:p>
      <w:pPr>
        <w:pStyle w:val="BodyText"/>
        <w:spacing w:after="60" w:line="324" w:lineRule="auto"/>
        <w:ind w:firstLine="420"/>
      </w:pPr>
      <w:r>
        <w:rPr>
          <w:rFonts w:ascii="Microsoft YaHei" w:hAnsi="Microsoft YaHei" w:eastAsia="Microsoft YaHei"/>
          <w:sz w:val="21"/>
        </w:rPr>
        <w:t>手机商城是客户自主选择商品和订货单位的主要入口。客户提交前需要看到容量、包装、可订单位、该客户当前价格和起订要求；业务员代客下单也要按同一资料选择。若客户用微信说“老样子来两箱油”，要先确认上次订的是5升×4桶装还是另一种箱规，并请客户确认最终订单。促销价、客户指定价、类型价或基础销售价会影响实际成交金额，但不能影响商品单位的实物换算。客户变更订单时，变更应落到原订单或有明确关联的新单，采购汇总随之更新；不能只改微信群里的备注。</w:t>
      </w:r>
    </w:p>
    <w:p>
      <w:pPr>
        <w:pStyle w:val="BodyText"/>
        <w:spacing w:after="60" w:line="324" w:lineRule="auto"/>
        <w:ind w:firstLine="420"/>
      </w:pPr>
      <w:r>
        <w:rPr>
          <w:rFonts w:ascii="Microsoft YaHei" w:hAnsi="Microsoft YaHei" w:eastAsia="Microsoft YaHei"/>
          <w:sz w:val="21"/>
        </w:rPr>
        <w:t>设示例中两家门店恰好执行相同价格：大米每袋115元、油每箱220元、酱油每箱72元。A门店金额是6×115＋3×220＋2×72＝1494元；B门店金额是4×115＋2×220＋1×72＝972元，合计2466元。这只是一组说明“按原单成交单位算钱”的数字。如果B门店有专属价格或优惠券，就必须取B门店自己的订单成交金额，不能用20桶油乘所谓统一桶价重新算一次。采购和仓库按基本单位汇总，财务按各订单真实成交单位和价格核账，两种视图各有用途。</w:t>
      </w:r>
    </w:p>
    <w:p>
      <w:pPr>
        <w:pStyle w:val="Heading1"/>
        <w:keepNext/>
        <w:pageBreakBefore w:val="0"/>
        <w:spacing w:before="360" w:after="160"/>
      </w:pPr>
      <w:r>
        <w:rPr>
          <w:rFonts w:ascii="Microsoft YaHei" w:hAnsi="Microsoft YaHei" w:eastAsia="Microsoft YaHei"/>
          <w:sz w:val="32"/>
        </w:rPr>
        <w:t>采购、入库与出库都从本期可用量出发</w:t>
      </w:r>
    </w:p>
    <w:p>
      <w:pPr>
        <w:pStyle w:val="BodyText"/>
        <w:spacing w:after="60" w:line="324" w:lineRule="auto"/>
        <w:ind w:firstLine="420"/>
      </w:pPr>
      <w:r>
        <w:rPr>
          <w:rFonts w:ascii="Microsoft YaHei" w:hAnsi="Microsoft YaHei" w:eastAsia="Microsoft YaHei"/>
          <w:sz w:val="21"/>
        </w:rPr>
        <w:t>假设仓里有大米3袋、油6桶、酱油12瓶，三种货都合格、未被其他订单占用且能从本次出库仓发货，那么采购缺口分别为大米7袋、油14桶、酱油24瓶。油供应商只按4桶一箱销售，就要买4箱共16桶，其中14桶满足本期缺口，多出的2桶为企业后续库存；酱油按12瓶一箱买2箱，正好补24瓶。大米若按25公斤袋装向供应商采购，买7袋即可。三种商品即使都写“箱”，也不能把油4箱和酱油2箱写成一个无规格的“6箱”。</w:t>
      </w:r>
    </w:p>
    <w:p>
      <w:pPr>
        <w:pStyle w:val="BodyText"/>
        <w:spacing w:after="60" w:line="324" w:lineRule="auto"/>
        <w:ind w:firstLine="420"/>
      </w:pPr>
      <w:r>
        <w:rPr>
          <w:rFonts w:ascii="Microsoft YaHei" w:hAnsi="Microsoft YaHei" w:eastAsia="Microsoft YaHei"/>
          <w:sz w:val="21"/>
        </w:rPr>
        <w:t>采购单应写实际供应商、收货仓库、商品规格、采购单位、采购数量和计划到货时间。供应商若改用另一箱规送货，收货人员先确认商品和采购约定，不因箱数相同就直接验收。只有验收合格的实物才能转成可用库存；尚在途、破袋漏油、包装破损或到货晚于门店要求的货，不能提前计入本批可交数量。若食用油4箱只到了3箱，即12桶，可用油变为6＋12＝18桶，比订单20桶少2桶，应明确是哪家门店受影响、如何补交或改期，而不是把采购单上的第4箱视为已到货。</w:t>
      </w:r>
    </w:p>
    <w:p>
      <w:pPr>
        <w:pStyle w:val="BodyText"/>
        <w:spacing w:after="60" w:line="324" w:lineRule="auto"/>
        <w:ind w:firstLine="420"/>
      </w:pPr>
      <w:r>
        <w:rPr>
          <w:rFonts w:ascii="Microsoft YaHei" w:hAnsi="Microsoft YaHei" w:eastAsia="Microsoft YaHei"/>
          <w:sz w:val="21"/>
        </w:rPr>
        <w:t>仓库按门店原单拣货时，A门店油3箱即12桶，B门店2箱即8桶；不要把20桶总数直接塞给一个客户。若拆箱发桶，剩余桶数与外箱状态要继续可查。大米按袋核数量、批次和破袋；酱油按箱核瓶数与破瓶。出库只填本次实际发出的数量，签收记录再核客户实际收到什么。少发、破损、退回、补送应回到原订单和本次出库，不能只改最终状态把差额抹平。</w:t>
      </w:r>
    </w:p>
    <w:p>
      <w:pPr>
        <w:pStyle w:val="Heading1"/>
        <w:keepNext/>
        <w:pageBreakBefore w:val="0"/>
        <w:spacing w:before="360" w:after="160"/>
      </w:pPr>
      <w:r>
        <w:rPr>
          <w:rFonts w:ascii="Microsoft YaHei" w:hAnsi="Microsoft YaHei" w:eastAsia="Microsoft YaHei"/>
          <w:sz w:val="32"/>
        </w:rPr>
        <w:t>结算同时看原单成交价、实际交付和采购余量</w:t>
      </w:r>
    </w:p>
    <w:p>
      <w:pPr>
        <w:pStyle w:val="BodyText"/>
        <w:spacing w:after="60" w:line="324" w:lineRule="auto"/>
        <w:ind w:firstLine="420"/>
      </w:pPr>
      <w:r>
        <w:rPr>
          <w:rFonts w:ascii="Microsoft YaHei" w:hAnsi="Microsoft YaHei" w:eastAsia="Microsoft YaHei"/>
          <w:sz w:val="21"/>
        </w:rPr>
        <w:t>完工核对从三个层次展开。第一层是商品实物：订单大米10袋、油20桶、酱油36瓶；采购入库和原有库存是否覆盖实际发货。第二层是客户原单：A门店6袋、3箱油、2箱酱油和B门店4袋、2箱油、1箱酱油是否各自签收；部分拒收或补送落到哪个订单。第三层是资金：按照每家门店提交时确认的价格、优惠、配送费和实际交付结果核收款或欠款。采购多出来的2桶油属于库存，不是客户多买的2桶，也不能被错误摊入两家门店的销售额。</w:t>
      </w:r>
    </w:p>
    <w:p>
      <w:pPr>
        <w:keepNext/>
        <w:jc w:val="center"/>
      </w:pPr>
      <w:r>
        <w:drawing>
          <wp:inline xmlns:a="http://schemas.openxmlformats.org/drawingml/2006/main" xmlns:pic="http://schemas.openxmlformats.org/drawingml/2006/picture">
            <wp:extent cx="5806440" cy="3266122"/>
            <wp:docPr id="4" name="Picture 4" descr="大米油酱油三种商品从订单需求扣可用库存到采购和结算的差额核对" title="大米油酱油三种商品从订单需求扣可用库存到采购和结算的差额核对"/>
            <wp:cNvGraphicFramePr>
              <a:graphicFrameLocks noChangeAspect="1"/>
            </wp:cNvGraphicFramePr>
            <a:graphic>
              <a:graphicData uri="http://schemas.openxmlformats.org/drawingml/2006/picture">
                <pic:pic>
                  <pic:nvPicPr>
                    <pic:cNvPr id="0" name="粮油调料采购余量与结算核对.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图4：大米缺7袋、油缺14桶但按箱采购16桶、酱油缺24瓶；油多采购2桶单列库存，结算仍回到门店原单和本次有效交付。</w:t>
      </w:r>
    </w:p>
    <w:p>
      <w:pPr>
        <w:pStyle w:val="BodyText"/>
        <w:spacing w:after="60" w:line="324" w:lineRule="auto"/>
        <w:ind w:firstLine="420"/>
      </w:pPr>
      <w:r>
        <w:rPr>
          <w:rFonts w:ascii="Microsoft YaHei" w:hAnsi="Microsoft YaHei" w:eastAsia="Microsoft YaHei"/>
          <w:sz w:val="21"/>
        </w:rPr>
        <w:t>财务不应拿仓库折算后的“20桶油”直接乘一个默认桶价。即便同一箱里有4桶，箱价也未必是桶价的四倍；门店之间的协议价和促销条件还可能不同。客户签收少了1箱酱油，先核原订单、本次出库、客户实收与补货安排，再判断该次收款、退款或应收是否需要调整。供应商短到时，采购未完成的数量、仓库可发量和客户待交量应分别保留，报表总数不能以一个“订单完成”状态替代。</w:t>
      </w:r>
    </w:p>
    <w:p>
      <w:pPr>
        <w:pStyle w:val="Heading1"/>
        <w:keepNext/>
        <w:pageBreakBefore w:val="0"/>
        <w:spacing w:before="360" w:after="160"/>
      </w:pPr>
      <w:r>
        <w:rPr>
          <w:rFonts w:ascii="Microsoft YaHei" w:hAnsi="Microsoft YaHei" w:eastAsia="Microsoft YaHei"/>
          <w:sz w:val="32"/>
        </w:rPr>
        <w:t>用两类异常验证：包装变更和散装称重不能混处理</w:t>
      </w:r>
    </w:p>
    <w:p>
      <w:pPr>
        <w:pStyle w:val="BodyText"/>
        <w:spacing w:after="60" w:line="324" w:lineRule="auto"/>
        <w:ind w:firstLine="420"/>
      </w:pPr>
      <w:r>
        <w:rPr>
          <w:rFonts w:ascii="Microsoft YaHei" w:hAnsi="Microsoft YaHei" w:eastAsia="Microsoft YaHei"/>
          <w:sz w:val="21"/>
        </w:rPr>
        <w:t>第一类异常是固定包装变化。例如原有油每箱4桶，供应商下一批换成每箱6桶。采购员收到通知后确认生效批次，商品负责人建立可区分的新规格或新的换算适用方式，运营核对未完客户订单承诺，仓库按到货实物验收。旧订单若客户订的是4桶箱，不能不告知就发6桶箱并向客户多收款；若想用新包装替代，要先确认价格、交期与客户接受情况。回查时检查旧单的换算仍为4桶、新单按6桶记录，库存变动对应真实入出库，而不是靠改报表让历史数量“统一”。</w:t>
      </w:r>
    </w:p>
    <w:p>
      <w:pPr>
        <w:pStyle w:val="BodyText"/>
        <w:spacing w:after="60" w:line="324" w:lineRule="auto"/>
        <w:ind w:firstLine="420"/>
      </w:pPr>
      <w:r>
        <w:rPr>
          <w:rFonts w:ascii="Microsoft YaHei" w:hAnsi="Microsoft YaHei" w:eastAsia="Microsoft YaHei"/>
          <w:sz w:val="21"/>
        </w:rPr>
        <w:t>第二类异常是非固定重量。比如“散装米一袋约25公斤”实际每袋可能24.6或25.3公斤，订单按预估重量提交，出库须称重后确定实际数量与金额。此时不能套用本篇袋装米“1袋=25公斤”的固定换算；应按企业已确认的称重计价流程处理重量差额，客户签收和财务结算也要对应实际重量。前者是包装规格变更，后者是计量方式不同，两者若都用“修改箱规”解决，会把库存、毛利和欠款一起带错。</w:t>
      </w:r>
    </w:p>
    <w:p>
      <w:pPr>
        <w:pStyle w:val="BodyText"/>
        <w:spacing w:after="60" w:line="324" w:lineRule="auto"/>
        <w:ind w:firstLine="420"/>
      </w:pPr>
      <w:r>
        <w:rPr>
          <w:rFonts w:ascii="Microsoft YaHei" w:hAnsi="Microsoft YaHei" w:eastAsia="Microsoft YaHei"/>
          <w:sz w:val="21"/>
        </w:rPr>
        <w:t>先选三款规格稳定、订单频繁的商品和两家愿意共同核对的门店做试运行。试跑时用上述正常订单核大米10袋、油20桶、酱油36瓶及2466元示例金额；再故意模拟油短到2桶，检查采购、仓库、客服和财务是否能指出哪笔原单受影响，并留下客户确认的处理结果。连续几批都能从客户原单追到采购、入库、出库、签收和价款，才扩展到更多包装与客户。系统可以执行已确认的规格和单位规则；企业仍须负责实物箱规、临期标准、实际称重、客户定价和短缺分配方案。这样的业务闭环才能让“袋、桶、瓶、箱”各有含义，而不是每换一个岗位就重新算一遍。</w:t>
      </w:r>
    </w:p>
    <w:p>
      <w:pPr>
        <w:pStyle w:val="Heading1"/>
        <w:keepNext/>
        <w:pageBreakBefore w:val="0"/>
        <w:spacing w:before="360" w:after="160"/>
      </w:pPr>
      <w:r>
        <w:rPr>
          <w:rFonts w:ascii="Microsoft YaHei" w:hAnsi="Microsoft YaHei" w:eastAsia="Microsoft YaHei"/>
          <w:sz w:val="32"/>
        </w:rPr>
        <w:t>下一步学习</w:t>
      </w:r>
    </w:p>
    <w:p>
      <w:pPr>
        <w:pStyle w:val="BodyText"/>
        <w:spacing w:after="60" w:line="324" w:lineRule="auto"/>
        <w:ind w:firstLine="420"/>
      </w:pPr>
      <w:r>
        <w:rPr>
          <w:rFonts w:ascii="Microsoft YaHei" w:hAnsi="Microsoft YaHei" w:eastAsia="Microsoft YaHei"/>
          <w:sz w:val="21"/>
        </w:rPr>
        <w:t>要设置商品资料，可继续查商品多单位、规格管理与价格规则的操作说明；要核实实际交易，结合手机商城下单、订单汇总、采购收货、销售出库、客户签收和往来对账的操作文章。先在一款油、一款酱油和一款袋装米上跑通正常与短到两类订单，再复制到其他箱规。</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粮油调料包装规格统一：袋、桶、瓶、箱从订货到结算一致｜云上订货系统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