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采购供货还是联营合作：怎样确定建档、发货与对账结算方式｜云上订货系统</w:t>
      </w:r>
    </w:p>
    <w:p>
      <w:pPr>
        <w:pStyle w:val="BodyText"/>
        <w:spacing w:after="60" w:line="300" w:lineRule="auto"/>
        <w:ind w:firstLine="420"/>
      </w:pPr>
      <w:r>
        <w:rPr>
          <w:rFonts w:ascii="Microsoft YaHei" w:hAnsi="Microsoft YaHei" w:eastAsia="Microsoft YaHei"/>
          <w:sz w:val="21"/>
        </w:rPr>
        <w:t>一家配送企业把原有供方接入商城，供方仍按原价卖给配送企业，配送企业仍自己定客户售价、承担退货并向客户开票，却因为货由供方直接送门店，就把这笔交易录成“联营商家订单”。订单能走通，月底却出现三种不同账：客户认为卖方是配送企业，供方认为自己只是卖给配送企业，系统按商家扣点算结算。采购供货、供应商直送和联营合作的核心区别不是货车是否进了自家仓库，而是谁是实际卖方，谁控制商品和客户交易条件，谁对签收、退货与资金负责。选错关系，建档、发货和对账都会沿错误对象走。</w:t>
      </w:r>
    </w:p>
    <w:p>
      <w:pPr>
        <w:pStyle w:val="BodyText"/>
        <w:spacing w:after="60" w:line="300" w:lineRule="auto"/>
        <w:ind w:firstLine="420"/>
      </w:pPr>
      <w:r>
        <w:rPr>
          <w:rFonts w:ascii="Microsoft YaHei" w:hAnsi="Microsoft YaHei" w:eastAsia="Microsoft YaHei"/>
          <w:sz w:val="21"/>
        </w:rPr>
        <w:t>本文把“企业买入后自己卖”称为购销，把“卖方仍是企业、供方直接送客户”称为购销直送，把“入驻商家独立经营、平台提供真实服务”称为联营。具体合同、收入确认、发票和税务处理要由企业财务及专业顾问结合交易事实确定，不能因系统选择了某个菜单便自动改变经营关系。《电子商务法》区分平台经营者、自营业务和平台内经营者，并要求平台自营与商家业务显著区分；税务机关的发票合规问答也强调票面须与实际交易相符。云上订货的采购、供应商、联营商家、订单、退货和结算记录，应服务于真实业务，而不是替代交易实质判断。</w:t>
      </w:r>
    </w:p>
    <w:p>
      <w:pPr>
        <w:pStyle w:val="Heading1"/>
        <w:keepNext/>
        <w:pageBreakBefore w:val="0"/>
        <w:spacing w:before="360" w:after="160"/>
      </w:pPr>
      <w:r>
        <w:rPr>
          <w:rFonts w:ascii="Microsoft YaHei" w:hAnsi="Microsoft YaHei" w:eastAsia="Microsoft YaHei"/>
          <w:sz w:val="32"/>
        </w:rPr>
        <w:t>先回答六个问题，再决定使用供应商还是联营商家档案</w:t>
      </w:r>
    </w:p>
    <w:p>
      <w:pPr>
        <w:pStyle w:val="BodyText"/>
        <w:spacing w:after="60" w:line="300" w:lineRule="auto"/>
        <w:ind w:firstLine="420"/>
      </w:pPr>
      <w:r>
        <w:rPr>
          <w:rFonts w:ascii="Microsoft YaHei" w:hAnsi="Microsoft YaHei" w:eastAsia="Microsoft YaHei"/>
          <w:sz w:val="21"/>
        </w:rPr>
        <w:t>第一，客户与谁订立买卖合同；第二，商品卖价、促销和客户账期由谁决定；第三，商品在交付前由谁承担存货、灭失和滞销风险；第四，客户拒收或质量退货时谁作决定并负担损失；第五，客户付款、退款及发票对应哪个实际销售主体；第六，平台若收服务费，提供了什么可核对的服务。六个答案若都指向配送企业，就属于企业经营自己的销售业务，即便供应商装车直送也不应只凭物流路径变成联营。</w:t>
      </w:r>
    </w:p>
    <w:p>
      <w:pPr>
        <w:pStyle w:val="BodyText"/>
        <w:spacing w:after="60" w:line="300" w:lineRule="auto"/>
        <w:ind w:firstLine="420"/>
      </w:pPr>
      <w:r>
        <w:rPr>
          <w:rFonts w:ascii="Microsoft YaHei" w:hAnsi="Microsoft YaHei" w:eastAsia="Microsoft YaHei"/>
          <w:sz w:val="21"/>
        </w:rPr>
        <w:t>例如企业向供方按每件八十元采购，并自主向门店按每件一百元销售，买断或按合同取得商品控制权，客户向企业追讨缺货和退货。供方可以送到本仓，也可以按企业指令送门店，卖方仍是企业。另一个例子是商家以自己的身份在平台上展示商品、决定允许范围内的交易条件，承担相应商品售后与经营责任，平台提供店铺、流量、订单技术、收付结算或客服协调等服务，并按照服务协议收费。这种关系才值得建立联营商家链。真实经营安排不清时，先画责任图，别先迁数据。</w:t>
      </w:r>
    </w:p>
    <w:p>
      <w:pPr>
        <w:keepNext/>
        <w:jc w:val="center"/>
      </w:pPr>
      <w:r>
        <w:drawing>
          <wp:inline xmlns:a="http://schemas.openxmlformats.org/drawingml/2006/main" xmlns:pic="http://schemas.openxmlformats.org/drawingml/2006/picture">
            <wp:extent cx="5806440" cy="3338703"/>
            <wp:docPr id="1" name="Picture 1" descr="从客户合同定价货权售后收款和真实服务六项判断采购购销或联营的决策图" title="从客户合同定价货权售后收款和真实服务六项判断采购购销或联营的决策图"/>
            <wp:cNvGraphicFramePr>
              <a:graphicFrameLocks noChangeAspect="1"/>
            </wp:cNvGraphicFramePr>
            <a:graphic>
              <a:graphicData uri="http://schemas.openxmlformats.org/drawingml/2006/picture">
                <pic:pic>
                  <pic:nvPicPr>
                    <pic:cNvPr id="0" name="购销联营主体决策图.png"/>
                    <pic:cNvPicPr/>
                  </pic:nvPicPr>
                  <pic:blipFill>
                    <a:blip r:embed="rId11"/>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图1：物流直送单列为交付方式；是否联营先看实际交易主体和责任，不靠菜单名判定。</w:t>
      </w:r>
    </w:p>
    <w:p>
      <w:pPr>
        <w:pStyle w:val="BodyText"/>
        <w:spacing w:after="60" w:line="300" w:lineRule="auto"/>
        <w:ind w:firstLine="420"/>
      </w:pPr>
      <w:r>
        <w:rPr>
          <w:rFonts w:ascii="Microsoft YaHei" w:hAnsi="Microsoft YaHei" w:eastAsia="Microsoft YaHei"/>
          <w:sz w:val="21"/>
        </w:rPr>
        <w:t>还有混合经营的企业：某些品类自营购销，另一些品类由商家销售。应按商品或订单分开标明实际卖方，客户进入同一商城也不能因此把所有商品的卖方统一成平台。若原有供方暂时不具备商家运营能力，可以先保持采购关系，只对适合自主经营、愿意承担客服售后与结算的合作方试行联营。联营不是“把三百家供应商一次性改成三百家商家”的档案迁移工程。</w:t>
      </w:r>
    </w:p>
    <w:p>
      <w:pPr>
        <w:pStyle w:val="Heading1"/>
        <w:keepNext/>
        <w:pageBreakBefore w:val="0"/>
        <w:spacing w:before="360" w:after="160"/>
      </w:pPr>
      <w:r>
        <w:rPr>
          <w:rFonts w:ascii="Microsoft YaHei" w:hAnsi="Microsoft YaHei" w:eastAsia="Microsoft YaHei"/>
          <w:sz w:val="32"/>
        </w:rPr>
        <w:t>购销关系先建供应商、采购和销售两条账</w:t>
      </w:r>
    </w:p>
    <w:p>
      <w:pPr>
        <w:pStyle w:val="BodyText"/>
        <w:spacing w:after="60" w:line="300" w:lineRule="auto"/>
        <w:ind w:firstLine="420"/>
      </w:pPr>
      <w:r>
        <w:rPr>
          <w:rFonts w:ascii="Microsoft YaHei" w:hAnsi="Microsoft YaHei" w:eastAsia="Microsoft YaHei"/>
          <w:sz w:val="21"/>
        </w:rPr>
        <w:t>企业作为买方从供方进货、作为卖方向客户销售时，应分别保留供方档案、采购单、到货或直送核验、供应商应付，以及客户订单、出库或交付、客户应收。相同商品可以由多个供方采购，但供方报价和客户售价是两种不同关系。采购单写向谁买、买什么规格、多少数量、到哪里及何时到；客户订单写卖给谁、卖什么、什么价格和交期。两张单据能互相追溯，但不能合并成一张“平台服务单”把购销价差改名为服务费。</w:t>
      </w:r>
    </w:p>
    <w:p>
      <w:pPr>
        <w:pStyle w:val="BodyText"/>
        <w:spacing w:after="60" w:line="300" w:lineRule="auto"/>
        <w:ind w:firstLine="420"/>
      </w:pPr>
      <w:r>
        <w:rPr>
          <w:rFonts w:ascii="Microsoft YaHei" w:hAnsi="Microsoft YaHei" w:eastAsia="Microsoft YaHei"/>
          <w:sz w:val="21"/>
        </w:rPr>
        <w:t>以订单一百件为例，客户成交价每件一百元，采购价每件八十元。供方承诺送一百件，门店实际只收九十八件，另两件在途破损。客户侧先按实收或合同约定确认应收与待补，采购侧再按验收和破损责任核应付。若双方约定按实收九十八件结算，说明性金额是客户九千八百元、供方七千八百四十元；若破损由配送企业承担，供方应付口径可能不同，不能机械套用这个算例。正确顺序是把数量差异和责任先核清，再按两个合同分别结算。</w:t>
      </w:r>
    </w:p>
    <w:p>
      <w:pPr>
        <w:pStyle w:val="BodyText"/>
        <w:spacing w:after="60" w:line="300" w:lineRule="auto"/>
        <w:ind w:firstLine="420"/>
      </w:pPr>
      <w:r>
        <w:rPr>
          <w:rFonts w:ascii="Microsoft YaHei" w:hAnsi="Microsoft YaHei" w:eastAsia="Microsoft YaHei"/>
          <w:sz w:val="21"/>
        </w:rPr>
        <w:t>云上订货管理端的供应商编辑页能保存名称、主销产品、默认收货仓库及合作资料。它适合购销链的供方建档，但这一张页面不能证明所有直送、损耗与财务规则都自动配置完成。PC管理端优先核采购单与往来，现场人员也可用手机管理端维护相关基础资料。下图的手机管理端供方资料仅说明建档字段，供方与联营商家是否同一经营主体仍需核合同。</w:t>
      </w:r>
    </w:p>
    <w:p>
      <w:pPr>
        <w:keepNext/>
        <w:jc w:val="center"/>
      </w:pPr>
      <w:r>
        <w:drawing>
          <wp:inline xmlns:a="http://schemas.openxmlformats.org/drawingml/2006/main" xmlns:pic="http://schemas.openxmlformats.org/drawingml/2006/picture">
            <wp:extent cx="2362527" cy="5120640"/>
            <wp:docPr id="2" name="Picture 2" descr="手机管理端供应商编辑页面展示名称主销产品仓库和合作资料字段" title="手机管理端供应商编辑页面展示名称主销产品仓库和合作资料字段"/>
            <wp:cNvGraphicFramePr>
              <a:graphicFrameLocks noChangeAspect="1"/>
            </wp:cNvGraphicFramePr>
            <a:graphic>
              <a:graphicData uri="http://schemas.openxmlformats.org/drawingml/2006/picture">
                <pic:pic>
                  <pic:nvPicPr>
                    <pic:cNvPr id="0" name="SC000132S4.png"/>
                    <pic:cNvPicPr/>
                  </pic:nvPicPr>
                  <pic:blipFill>
                    <a:blip r:embed="rId12"/>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图2：真实手机管理端供应商档案入口；字段用于购销供方管理，不代表已经建立联营商家。</w:t>
      </w:r>
    </w:p>
    <w:p>
      <w:pPr>
        <w:pStyle w:val="Heading1"/>
        <w:keepNext/>
        <w:pageBreakBefore w:val="0"/>
        <w:spacing w:before="360" w:after="160"/>
      </w:pPr>
      <w:r>
        <w:rPr>
          <w:rFonts w:ascii="Microsoft YaHei" w:hAnsi="Microsoft YaHei" w:eastAsia="Microsoft YaHei"/>
          <w:sz w:val="32"/>
        </w:rPr>
        <w:t>联营商家要有自己的货盘、履约责任和结算依据</w:t>
      </w:r>
    </w:p>
    <w:p>
      <w:pPr>
        <w:pStyle w:val="BodyText"/>
        <w:spacing w:after="60" w:line="300" w:lineRule="auto"/>
        <w:ind w:firstLine="420"/>
      </w:pPr>
      <w:r>
        <w:rPr>
          <w:rFonts w:ascii="Microsoft YaHei" w:hAnsi="Microsoft YaHei" w:eastAsia="Microsoft YaHei"/>
          <w:sz w:val="21"/>
        </w:rPr>
        <w:t>真正的联营先有商家合作协议，明确商家经营范围、商品审核、定价权限、库存或可售量更新、发货及退货责任、客户服务时限、资金路径和平台服务费依据。平台审核入驻商家与商品，客户在商城购买时应能识别实际卖方；若一个购物车含两家商家商品，平台侧可能要按商家形成可追溯的子订单或结算记录，不能让一张总单掩盖不同商家的发货和售后。系统的联营商家、联营订单、退货与结算模块可以承接这条业务链，但具体拆单和分账行为必须按已开通版本的真实试单验证。</w:t>
      </w:r>
    </w:p>
    <w:p>
      <w:pPr>
        <w:pStyle w:val="BodyText"/>
        <w:spacing w:after="60" w:line="300" w:lineRule="auto"/>
        <w:ind w:firstLine="420"/>
      </w:pPr>
      <w:r>
        <w:rPr>
          <w:rFonts w:ascii="Microsoft YaHei" w:hAnsi="Microsoft YaHei" w:eastAsia="Microsoft YaHei"/>
          <w:sz w:val="21"/>
        </w:rPr>
        <w:t>仍用每件一百元、客户实收九十八件的例子。若商家是真实卖方，客户实际商品交易金额为九千八百元；平台按协议提供并计费的服务要另列依据，假设约定按已完成的商品交易额收取百分之十服务费，则演算服务费九百八十元。客户退两件时，服务费计算基数是否随之回退，应在商家协议里明确，并从原订单、退货和结算单回查。不能看到购销模式每件赚二十元，就把同一事实改成“商家卖一百元、平台收二十元服务费”；若买卖双方、货权和售后没有改变，系统字段重命名不会让业务自动变成平台经营。</w:t>
      </w:r>
    </w:p>
    <w:p>
      <w:pPr>
        <w:keepNext/>
        <w:jc w:val="center"/>
      </w:pPr>
      <w:r>
        <w:drawing>
          <wp:inline xmlns:a="http://schemas.openxmlformats.org/drawingml/2006/main" xmlns:pic="http://schemas.openxmlformats.org/drawingml/2006/picture">
            <wp:extent cx="5806440" cy="3338703"/>
            <wp:docPr id="3" name="Picture 3" descr="购销企业与联营商家的两种订单发货退货收款及结算路径对照图" title="购销企业与联营商家的两种订单发货退货收款及结算路径对照图"/>
            <wp:cNvGraphicFramePr>
              <a:graphicFrameLocks noChangeAspect="1"/>
            </wp:cNvGraphicFramePr>
            <a:graphic>
              <a:graphicData uri="http://schemas.openxmlformats.org/drawingml/2006/picture">
                <pic:pic>
                  <pic:nvPicPr>
                    <pic:cNvPr id="0" name="购销联营双路径.png"/>
                    <pic:cNvPicPr/>
                  </pic:nvPicPr>
                  <pic:blipFill>
                    <a:blip r:embed="rId13"/>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图3：购销链保留企业采购和企业销售两边关系；联营链按真实商家子单、履约和平台服务分别核对。</w:t>
      </w:r>
    </w:p>
    <w:p>
      <w:pPr>
        <w:pStyle w:val="BodyText"/>
        <w:spacing w:after="60" w:line="300" w:lineRule="auto"/>
        <w:ind w:firstLine="420"/>
      </w:pPr>
      <w:r>
        <w:rPr>
          <w:rFonts w:ascii="Microsoft YaHei" w:hAnsi="Microsoft YaHei" w:eastAsia="Microsoft YaHei"/>
          <w:sz w:val="21"/>
        </w:rPr>
        <w:t>商家入驻也不是把供应商资料复制一下就结束。企业需检查实际经营主体、资质、收款账户、商品责任和售后联系人；商家要能接收订单、处理缺货和退货、按约核服务费。若某供方仍让平台决定所有售价、所有客户信用和退货，自己只按采购单送货，那它可能更适合保留在供方档案里。先挑愿意负责经营的一两家合作方试跑，再考虑扩到更多品类和地区。</w:t>
      </w:r>
    </w:p>
    <w:p>
      <w:pPr>
        <w:pStyle w:val="Heading1"/>
        <w:keepNext/>
        <w:pageBreakBefore w:val="0"/>
        <w:spacing w:before="360" w:after="160"/>
      </w:pPr>
      <w:r>
        <w:rPr>
          <w:rFonts w:ascii="Microsoft YaHei" w:hAnsi="Microsoft YaHei" w:eastAsia="Microsoft YaHei"/>
          <w:sz w:val="32"/>
        </w:rPr>
        <w:t>供应商直送只改变货的路线，不抹掉原有购销责任</w:t>
      </w:r>
    </w:p>
    <w:p>
      <w:pPr>
        <w:pStyle w:val="BodyText"/>
        <w:spacing w:after="60" w:line="300" w:lineRule="auto"/>
        <w:ind w:firstLine="420"/>
      </w:pPr>
      <w:r>
        <w:rPr>
          <w:rFonts w:ascii="Microsoft YaHei" w:hAnsi="Microsoft YaHei" w:eastAsia="Microsoft YaHei"/>
          <w:sz w:val="21"/>
        </w:rPr>
        <w:t>直送减少中转，但会让“供方发出”与“客户实收”之间少了本仓复核。采购员应在供方直送安排里写清客户收货方、地址、原客户订单、应送SKU和数量；供方回传发货单和物流信息，客户或门店签收时记录实收与短送。若供方发一百件、客户收九十八件，要查破损发生地点、补发是否赶上客户使用日期、两件差异由谁承担。购销关系下，企业不能因货没进仓就把客户投诉直接推给供方；联营关系下，平台虽提供协调，也不能把商家的售后责任悄悄变成企业自营库存损耗。</w:t>
      </w:r>
    </w:p>
    <w:p>
      <w:pPr>
        <w:pStyle w:val="BodyText"/>
        <w:spacing w:after="60" w:line="300" w:lineRule="auto"/>
        <w:ind w:firstLine="420"/>
      </w:pPr>
      <w:r>
        <w:rPr>
          <w:rFonts w:ascii="Microsoft YaHei" w:hAnsi="Microsoft YaHei" w:eastAsia="Microsoft YaHei"/>
          <w:sz w:val="21"/>
        </w:rPr>
        <w:t>退货比发货更能检验模式是否选对。客户退十件时，购销业务先核企业对客户的退款或红冲，再依据采购合同决定退供或转库存；联营业务则从对应商家子订单发起退货，核商家确认、货物去向和平台服务费回退。两种路径的客户体验都可以统一，但后台责任、单据和对账对象不能混写。对于第三方承运人，平台还应保留揽收、签收和异常证据，以免月底只剩“供方说已发、客户说没收”的口头争议。</w:t>
      </w:r>
    </w:p>
    <w:p>
      <w:pPr>
        <w:keepNext/>
        <w:jc w:val="center"/>
      </w:pPr>
      <w:r>
        <w:drawing>
          <wp:inline xmlns:a="http://schemas.openxmlformats.org/drawingml/2006/main" xmlns:pic="http://schemas.openxmlformats.org/drawingml/2006/picture">
            <wp:extent cx="5806440" cy="3338703"/>
            <wp:docPr id="4" name="Picture 4" descr="供应商直送一百件客户实收九十八件时沿购销或联营关系分别处理差异图" title="供应商直送一百件客户实收九十八件时沿购销或联营关系分别处理差异图"/>
            <wp:cNvGraphicFramePr>
              <a:graphicFrameLocks noChangeAspect="1"/>
            </wp:cNvGraphicFramePr>
            <a:graphic>
              <a:graphicData uri="http://schemas.openxmlformats.org/drawingml/2006/picture">
                <pic:pic>
                  <pic:nvPicPr>
                    <pic:cNvPr id="0" name="直送差异责任与双边对账.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图4：物流路径相同，购销与联营的卖方和结算对象不同；先核九十八件实收和两件差异责任。</w:t>
      </w:r>
    </w:p>
    <w:p>
      <w:pPr>
        <w:pStyle w:val="Heading1"/>
        <w:keepNext/>
        <w:pageBreakBefore w:val="0"/>
        <w:spacing w:before="360" w:after="160"/>
      </w:pPr>
      <w:r>
        <w:rPr>
          <w:rFonts w:ascii="Microsoft YaHei" w:hAnsi="Microsoft YaHei" w:eastAsia="Microsoft YaHei"/>
          <w:sz w:val="32"/>
        </w:rPr>
        <w:t>用同一笔试单做反向对账，确认模式与单据没有打架</w:t>
      </w:r>
    </w:p>
    <w:p>
      <w:pPr>
        <w:pStyle w:val="BodyText"/>
        <w:spacing w:after="60" w:line="300" w:lineRule="auto"/>
        <w:ind w:firstLine="420"/>
      </w:pPr>
      <w:r>
        <w:rPr>
          <w:rFonts w:ascii="Microsoft YaHei" w:hAnsi="Microsoft YaHei" w:eastAsia="Microsoft YaHei"/>
          <w:sz w:val="21"/>
        </w:rPr>
        <w:t>模式选择不应在会议室靠概念争论。挑一件真实商品和一个合作方，分别画出客户下单、商品准备、发货、实收、退货、退款、供方或商家结算、发票主体八个节点。采购试单要能看出“企业向供方买、企业向客户卖”；联营试单要能看出“商家作为卖方履约、平台提供什么服务并向谁收费”。如果试单订单写商家，售后却由企业承担全部商品责任，或合同写企业采购，结算却只剩扣点，说明流程与证据不一致，应在扩大范围前调整。</w:t>
      </w:r>
    </w:p>
    <w:p>
      <w:pPr>
        <w:pStyle w:val="BodyText"/>
        <w:spacing w:after="60" w:line="300" w:lineRule="auto"/>
        <w:ind w:firstLine="420"/>
      </w:pPr>
      <w:r>
        <w:rPr>
          <w:rFonts w:ascii="Microsoft YaHei" w:hAnsi="Microsoft YaHei" w:eastAsia="Microsoft YaHei"/>
          <w:sz w:val="21"/>
        </w:rPr>
        <w:t>财务核对时，从客户实际支付反查订单与退款，从供方或商家应得款反查交付和扣款依据，再看发票与合同主体是否一致。不能为了少做一步单据而让客户货款、供方采购款、平台服务费混在一个余额里。国家税务总局的合规开具发票说明提示销售方、购买方、商品、金额、数量与实际情况不符会形成风险；税费测算应在交易关系和账证确立后由专业人员完成，而非倒过来为预设税负编造交易关系。</w:t>
      </w:r>
    </w:p>
    <w:p>
      <w:pPr>
        <w:pStyle w:val="BodyText"/>
        <w:spacing w:after="60" w:line="300" w:lineRule="auto"/>
        <w:ind w:firstLine="420"/>
      </w:pPr>
      <w:r>
        <w:rPr>
          <w:rFonts w:ascii="Microsoft YaHei" w:hAnsi="Microsoft YaHei" w:eastAsia="Microsoft YaHei"/>
          <w:sz w:val="21"/>
        </w:rPr>
        <w:t>试单完成可用五个问题验收：客户能否识别商品实际卖方；一个交付差异能否回到原单并定位负责人；退货后客户退款与供方或商家结算能否同步调整；平台服务费是否有真实服务与合同依据；财务与法务能否沿合同、资金、物流、发票和系统单据解释同一交易。任何一项说不清，就先不要批量迁移历史供方或对外宣称已完成联营转型。</w:t>
      </w:r>
    </w:p>
    <w:p>
      <w:pPr>
        <w:pStyle w:val="Heading1"/>
        <w:keepNext/>
        <w:pageBreakBefore w:val="0"/>
        <w:spacing w:before="360" w:after="160"/>
      </w:pPr>
      <w:r>
        <w:rPr>
          <w:rFonts w:ascii="Microsoft YaHei" w:hAnsi="Microsoft YaHei" w:eastAsia="Microsoft YaHei"/>
          <w:sz w:val="32"/>
        </w:rPr>
        <w:t>从一个品类开始试跑，保留购销与联营长期并存的能力</w:t>
      </w:r>
    </w:p>
    <w:p>
      <w:pPr>
        <w:pStyle w:val="BodyText"/>
        <w:spacing w:after="60" w:line="300" w:lineRule="auto"/>
        <w:ind w:firstLine="420"/>
      </w:pPr>
      <w:r>
        <w:rPr>
          <w:rFonts w:ascii="Microsoft YaHei" w:hAnsi="Microsoft YaHei" w:eastAsia="Microsoft YaHei"/>
          <w:sz w:val="21"/>
        </w:rPr>
        <w:t>一家企业有几百家供方，不需要让每家都变成商家。先按品类和合作方能力分三组：稳定买断、企业控制客户关系的继续购销；需要减少中转但企业仍卖货的采用购销直送；有独立经营意愿、资质与售后能力的才进入联营候选。每组用真实合同与订单记录验证，不用“轻资产”口号替代货权、发票或售后责任。改模式时，旧采购销售订单按旧责任继续履约，新生效日后的订单才走新路径，不能在月底对旧单追溯改身份。</w:t>
      </w:r>
    </w:p>
    <w:p>
      <w:pPr>
        <w:pStyle w:val="BodyText"/>
        <w:spacing w:after="60" w:line="300" w:lineRule="auto"/>
        <w:ind w:firstLine="420"/>
      </w:pPr>
      <w:r>
        <w:rPr>
          <w:rFonts w:ascii="Microsoft YaHei" w:hAnsi="Microsoft YaHei" w:eastAsia="Microsoft YaHei"/>
          <w:sz w:val="21"/>
        </w:rPr>
        <w:t>试点选一个品类、两家合作方和少量客户，经营负责人负责商业规则，采购或招商负责合作方资格，运营负责商品展示和订单识别，仓配负责交付证据，客服负责售后分流，财务负责两种对账单。系统设置按业务决定：供方主数据、商家入驻、商品归属、订单拆分、直送路径、退款和结算规则依次核验。每项设置都留一张可回查的试单，不因页面上出现“商家”二字就认为交易模式完成转换。</w:t>
      </w:r>
    </w:p>
    <w:p>
      <w:pPr>
        <w:pStyle w:val="BodyText"/>
        <w:spacing w:after="60" w:line="300" w:lineRule="auto"/>
        <w:ind w:firstLine="420"/>
      </w:pPr>
      <w:r>
        <w:rPr>
          <w:rFonts w:ascii="Microsoft YaHei" w:hAnsi="Microsoft YaHei" w:eastAsia="Microsoft YaHei"/>
          <w:sz w:val="21"/>
        </w:rPr>
        <w:t>一个月试点结束后不要只看平台交易额。按购销业务核毛利、库存占用、应收与退货损失；按联营业务核真实服务收入、商家履约率、客户投诉、退款和结算差异。若联营减少了自有库存，却让客户投诉处理时间大幅增加、商家货盘不稳定，不能说模式已经优于购销。决定扩大前，应让客户、商家和内部岗位都能按同一套合同与系统记录解释每一笔交易。这样企业可以在同一商城长期经营自营商品与商家商品，同时清楚知道哪些钱是商品销售、哪些钱是服务收入，哪些责任仍由自己承担。</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SC-000132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采购供货还是联营合作：怎样确定建档、发货与对账结算方式｜云上订货系统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