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分销推荐与员工销售同时参与，怎样分别核对佣金和销售提成｜云上订货系统</w:t>
      </w:r>
    </w:p>
    <w:p>
      <w:pPr>
        <w:pStyle w:val="BodyText"/>
        <w:spacing w:after="160" w:line="348" w:lineRule="auto"/>
        <w:ind w:firstLine="420"/>
      </w:pPr>
      <w:r>
        <w:rPr>
          <w:rFonts w:ascii="Microsoft YaHei" w:hAnsi="Microsoft YaHei" w:eastAsia="Microsoft YaHei"/>
          <w:sz w:val="21"/>
        </w:rPr>
        <w:t>一家批发企业请区域伙伴介绍门店，同时给自己的销售分配客户。门店第一次订货后，伙伴拿着推荐记录来结佣金，销售拿着客户归属与跟进记录来申请提成。财务若把两人都当成“订单负责人”，会重复计奖；若强行只留一人，又可能否定真实的获客或成交贡献。更麻烦的是，客户第二个月退了一部分货，外部佣金已打款，员工提成已进入工资表，原来的汇总表却找不到两笔钱分别从哪张订单算出。</w:t>
      </w:r>
    </w:p>
    <w:p>
      <w:pPr>
        <w:pStyle w:val="BodyText"/>
        <w:spacing w:after="160" w:line="348" w:lineRule="auto"/>
        <w:ind w:firstLine="420"/>
      </w:pPr>
      <w:r>
        <w:rPr>
          <w:rFonts w:ascii="Microsoft YaHei" w:hAnsi="Microsoft YaHei" w:eastAsia="Microsoft YaHei"/>
          <w:sz w:val="21"/>
        </w:rPr>
        <w:t>解决办法不是在订单上多写一个名字，而是先把推荐关系、内部销售归属和订单事实拆成三条证据，再依据事前政策决定能否叠加、分别按什么基数计算、发生退货如何冲回。下文以批发商面向门店的订单为例，给运营、销售主管、财务和经营负责人一套可逐单复核的办法。云上订货中的客户、订单和业务统计页面可提供部分底层记录；具体分销佣金或销售提成是否能自动计算，必须按企业实际开通与配置确认，不能把本文示例当成系统默认功能。</w:t>
      </w:r>
    </w:p>
    <w:p>
      <w:pPr>
        <w:pStyle w:val="Heading1"/>
        <w:keepNext/>
        <w:pageBreakBefore w:val="0"/>
        <w:spacing w:before="360" w:after="160"/>
      </w:pPr>
      <w:r>
        <w:rPr>
          <w:rFonts w:ascii="Microsoft YaHei" w:hAnsi="Microsoft YaHei" w:eastAsia="Microsoft YaHei"/>
          <w:sz w:val="32"/>
        </w:rPr>
        <w:t>先分清“带来客户”和“做成销售”两种贡献</w:t>
      </w:r>
    </w:p>
    <w:p>
      <w:pPr>
        <w:pStyle w:val="BodyText"/>
        <w:spacing w:after="160" w:line="348" w:lineRule="auto"/>
        <w:ind w:firstLine="420"/>
      </w:pPr>
      <w:r>
        <w:rPr>
          <w:rFonts w:ascii="Microsoft YaHei" w:hAnsi="Microsoft YaHei" w:eastAsia="Microsoft YaHei"/>
          <w:sz w:val="21"/>
        </w:rPr>
        <w:t>推荐人可能是外部合作伙伴、老客户或区域推广者。他的贡献通常是提供有效线索、让客户使用专属入口注册，或促成符合政策的首单。员工销售则承担筛选客户、核价、解释供货条件、处理赊销申请、协调交货和售后等工作。一个人把客户带进来，另一个人把订单谈成并负责后续履约，两类贡献可以同时成立，但“同时成立”不等于“自动各给一笔钱”。企业必须事先明确这一类订单是允许并行奖励、只付其中一种，还是共享一个固定预算按比例分配。</w:t>
      </w:r>
    </w:p>
    <w:p>
      <w:pPr>
        <w:keepNext/>
        <w:jc w:val="center"/>
      </w:pPr>
      <w:r>
        <w:drawing>
          <wp:inline xmlns:a="http://schemas.openxmlformats.org/drawingml/2006/main" xmlns:pic="http://schemas.openxmlformats.org/drawingml/2006/picture">
            <wp:extent cx="5806440" cy="3442389"/>
            <wp:docPr id="1" name="Picture 1" descr="同一订单中外部推荐人与内部销售员工的不同贡献、证据和奖励资格" title="同一订单中外部推荐人与内部销售员工的不同贡献、证据和奖励资格"/>
            <wp:cNvGraphicFramePr>
              <a:graphicFrameLocks noChangeAspect="1"/>
            </wp:cNvGraphicFramePr>
            <a:graphic>
              <a:graphicData uri="http://schemas.openxmlformats.org/drawingml/2006/picture">
                <pic:pic>
                  <pic:nvPicPr>
                    <pic:cNvPr id="0" name="SC000179D1-两种贡献关系.png"/>
                    <pic:cNvPicPr/>
                  </pic:nvPicPr>
                  <pic:blipFill>
                    <a:blip r:embed="rId11"/>
                    <a:stretch>
                      <a:fillRect/>
                    </a:stretch>
                  </pic:blipFill>
                  <pic:spPr>
                    <a:xfrm>
                      <a:off x="0" y="0"/>
                      <a:ext cx="5806440" cy="3442389"/>
                    </a:xfrm>
                    <a:prstGeom prst="rect"/>
                  </pic:spPr>
                </pic:pic>
              </a:graphicData>
            </a:graphic>
          </wp:inline>
        </w:drawing>
      </w:r>
    </w:p>
    <w:p>
      <w:pPr>
        <w:spacing w:after="200"/>
        <w:jc w:val="center"/>
      </w:pPr>
      <w:r>
        <w:rPr>
          <w:rFonts w:ascii="Microsoft YaHei" w:hAnsi="Microsoft YaHei" w:eastAsia="Microsoft YaHei"/>
          <w:color w:val="596C78"/>
          <w:sz w:val="18"/>
        </w:rPr>
        <w:t>图1：推荐关系回答线索从哪里来，员工归属回答谁负责成交和服务；两种关系各有证据，是否叠加由政策决定。</w:t>
      </w:r>
    </w:p>
    <w:p>
      <w:pPr>
        <w:pStyle w:val="BodyText"/>
        <w:spacing w:after="160" w:line="348" w:lineRule="auto"/>
        <w:ind w:firstLine="420"/>
      </w:pPr>
      <w:r>
        <w:rPr>
          <w:rFonts w:ascii="Microsoft YaHei" w:hAnsi="Microsoft YaHei" w:eastAsia="Microsoft YaHei"/>
          <w:sz w:val="21"/>
        </w:rPr>
        <w:t>最容易混淆的情况是客户原本就在员工名下，过了几个月又扫了伙伴的推广码。这个扫码动作未必新增了客户；若伙伴确实推动一笔新渠道订单，也不能只因老客户身份就一概否定。因此政策要区分“新客户有效推荐”“老客户重新激活”“老客户自然复购”与“伙伴直接促成指定订单”。每类的证据、保护期和奖励范围可能不同。经营负责人需要选择要购买的究竟是新客户、首单、持续复购，还是某个区域的增量，并为相应费用设预算。</w:t>
      </w:r>
    </w:p>
    <w:p>
      <w:pPr>
        <w:pStyle w:val="BodyText"/>
        <w:spacing w:after="160" w:line="348" w:lineRule="auto"/>
        <w:ind w:firstLine="420"/>
      </w:pPr>
      <w:r>
        <w:rPr>
          <w:rFonts w:ascii="Microsoft YaHei" w:hAnsi="Microsoft YaHei" w:eastAsia="Microsoft YaHei"/>
          <w:sz w:val="21"/>
        </w:rPr>
        <w:t>建议客户资料分别留推荐人编号与绑定时点、销售主负责人及其生效时点，订单再留来源与经办记录。推荐关系变更和员工交接必须保留历史，不能把客户当前负责人倒写到半年前的订单。特别是员工离职、客户换区域或伙伴退出时，历史已成交订单的归属按当时有效政策处理，新订单才按新关系进入核算。若企业现有系统没有独立字段，可在受控明细表中按客户编号、订单编号和时间保存，不把“备注里有名字”当作已经审核的奖励资格。</w:t>
      </w:r>
    </w:p>
    <w:p>
      <w:pPr>
        <w:pStyle w:val="Heading1"/>
        <w:keepNext/>
        <w:pageBreakBefore w:val="0"/>
        <w:spacing w:before="360" w:after="160"/>
      </w:pPr>
      <w:r>
        <w:rPr>
          <w:rFonts w:ascii="Microsoft YaHei" w:hAnsi="Microsoft YaHei" w:eastAsia="Microsoft YaHei"/>
          <w:sz w:val="32"/>
        </w:rPr>
        <w:t>在活动开始前写清触发、叠加和结算规则</w:t>
      </w:r>
    </w:p>
    <w:p>
      <w:pPr>
        <w:pStyle w:val="BodyText"/>
        <w:spacing w:after="160" w:line="348" w:lineRule="auto"/>
        <w:ind w:firstLine="420"/>
      </w:pPr>
      <w:r>
        <w:rPr>
          <w:rFonts w:ascii="Microsoft YaHei" w:hAnsi="Microsoft YaHei" w:eastAsia="Microsoft YaHei"/>
          <w:sz w:val="21"/>
        </w:rPr>
        <w:t>推荐佣金政策至少回答七个问题：谁可推荐、哪些客户算有效、关系在什么时间建立、首单还是后续订单适用、基数按下单额还是已收且未退金额、费率或封顶额是多少，以及取消、退货和纠纷时怎么处理。员工提成政策也要写明客户归属、产品或区域范围、销售角色是否拆分、基数取销售额还是贡献毛利、何时确认、何时发放、退货及坏账是否冲回。两套规则各自有编号、版本、生效和截止时间，财务结算时不得用最新配置覆盖旧单承诺。</w:t>
      </w:r>
    </w:p>
    <w:p>
      <w:pPr>
        <w:pStyle w:val="BodyText"/>
        <w:spacing w:after="160" w:line="348" w:lineRule="auto"/>
        <w:ind w:firstLine="420"/>
      </w:pPr>
      <w:r>
        <w:rPr>
          <w:rFonts w:ascii="Microsoft YaHei" w:hAnsi="Microsoft YaHei" w:eastAsia="Microsoft YaHei"/>
          <w:sz w:val="21"/>
        </w:rPr>
        <w:t>叠加规则应写在两套政策的交界处，而非两边各写“符合条件即可奖励”。例如“经审核的新客户推荐首单，可同时计员工成交提成，但两者之和不得超过该单有效毛利的某一比例”；也可以规定“老客户自然复购只计员工提成，推荐码重复触达不形成新佣金”。这些只是可供企业决策的政策形式，并非默认建议费率。若总预算是获客成本上限，应先明确优惠券、满减、运费补贴是否也占用预算，否则佣金和提成各自看来合理，合并到订单上却可能把毛利吃完。</w:t>
      </w:r>
    </w:p>
    <w:p>
      <w:pPr>
        <w:pStyle w:val="BodyText"/>
        <w:spacing w:after="160" w:line="348" w:lineRule="auto"/>
        <w:ind w:firstLine="420"/>
      </w:pPr>
      <w:r>
        <w:rPr>
          <w:rFonts w:ascii="Microsoft YaHei" w:hAnsi="Microsoft YaHei" w:eastAsia="Microsoft YaHei"/>
          <w:sz w:val="21"/>
        </w:rPr>
        <w:t>不能靠事后谈判决定“谁拿这笔钱”。发布前用至少三张历史或模拟订单试算：纯推荐、纯员工销售、推荐与员工同时参与。业务、销售主管和财务各自从同一份规则算出金额，再让政策负责人签认冲突优先级。对于员工为了帮熟悉伙伴凑推荐业绩而在成交后补填推广关系，规则应明确晚于客户注册或询价的绑定是否无效，以及例外由谁审批并保留证据。规则越早具体，结算时越少依赖个人印象。</w:t>
      </w:r>
    </w:p>
    <w:p>
      <w:pPr>
        <w:pStyle w:val="Heading1"/>
        <w:keepNext/>
        <w:pageBreakBefore w:val="0"/>
        <w:spacing w:before="360" w:after="160"/>
      </w:pPr>
      <w:r>
        <w:rPr>
          <w:rFonts w:ascii="Microsoft YaHei" w:hAnsi="Microsoft YaHei" w:eastAsia="Microsoft YaHei"/>
          <w:sz w:val="32"/>
        </w:rPr>
        <w:t>订单提交时锁定归属证据，不用结算名单倒推来源</w:t>
      </w:r>
    </w:p>
    <w:p>
      <w:pPr>
        <w:pStyle w:val="BodyText"/>
        <w:spacing w:after="160" w:line="348" w:lineRule="auto"/>
        <w:ind w:firstLine="420"/>
      </w:pPr>
      <w:r>
        <w:rPr>
          <w:rFonts w:ascii="Microsoft YaHei" w:hAnsi="Microsoft YaHei" w:eastAsia="Microsoft YaHei"/>
          <w:sz w:val="21"/>
        </w:rPr>
        <w:t>核一张订单，先看客户是否在推荐人有效名单里、推荐触达是否早于客户注册或询价；再看该客户在下单时对应哪名员工、该员工负责的是客户维护还是订单成交；最后看这次订单究竟来自推荐活动、员工报价，还是客户习惯性自主补货。推广码能证明一次触达，但不一定能证明伙伴完成了全部成交；员工名下有客户，也不能反证推荐人不存在。两者可以同时为真，结算资格仍要回到政策。</w:t>
      </w:r>
    </w:p>
    <w:p>
      <w:pPr>
        <w:keepNext/>
        <w:jc w:val="center"/>
      </w:pPr>
      <w:r>
        <w:drawing>
          <wp:inline xmlns:a="http://schemas.openxmlformats.org/drawingml/2006/main" xmlns:pic="http://schemas.openxmlformats.org/drawingml/2006/picture">
            <wp:extent cx="5806440" cy="3442389"/>
            <wp:docPr id="2" name="Picture 2" descr="从推荐记录、员工归属、订单来源到政策版本的逐单判定流程" title="从推荐记录、员工归属、订单来源到政策版本的逐单判定流程"/>
            <wp:cNvGraphicFramePr>
              <a:graphicFrameLocks noChangeAspect="1"/>
            </wp:cNvGraphicFramePr>
            <a:graphic>
              <a:graphicData uri="http://schemas.openxmlformats.org/drawingml/2006/picture">
                <pic:pic>
                  <pic:nvPicPr>
                    <pic:cNvPr id="0" name="SC000179D2-订单归属判定.png"/>
                    <pic:cNvPicPr/>
                  </pic:nvPicPr>
                  <pic:blipFill>
                    <a:blip r:embed="rId12"/>
                    <a:stretch>
                      <a:fillRect/>
                    </a:stretch>
                  </pic:blipFill>
                  <pic:spPr>
                    <a:xfrm>
                      <a:off x="0" y="0"/>
                      <a:ext cx="5806440" cy="3442389"/>
                    </a:xfrm>
                    <a:prstGeom prst="rect"/>
                  </pic:spPr>
                </pic:pic>
              </a:graphicData>
            </a:graphic>
          </wp:inline>
        </w:drawing>
      </w:r>
    </w:p>
    <w:p>
      <w:pPr>
        <w:spacing w:after="200"/>
        <w:jc w:val="center"/>
      </w:pPr>
      <w:r>
        <w:rPr>
          <w:rFonts w:ascii="Microsoft YaHei" w:hAnsi="Microsoft YaHei" w:eastAsia="Microsoft YaHei"/>
          <w:color w:val="596C78"/>
          <w:sz w:val="18"/>
        </w:rPr>
        <w:t>图2：先核证据成立时间，再核客户和订单归属，最后用同一版本政策判断是否叠加；证据缺失先待核。</w:t>
      </w:r>
    </w:p>
    <w:p>
      <w:pPr>
        <w:pStyle w:val="BodyText"/>
        <w:spacing w:after="160" w:line="348" w:lineRule="auto"/>
        <w:ind w:firstLine="420"/>
      </w:pPr>
      <w:r>
        <w:rPr>
          <w:rFonts w:ascii="Microsoft YaHei" w:hAnsi="Microsoft YaHei" w:eastAsia="Microsoft YaHei"/>
          <w:sz w:val="21"/>
        </w:rPr>
        <w:t>订单快照应至少包括订单编号、客户主体、订单日期、商品行及折扣、推荐人、员工主负责人、来源证据、适用政策版本和审批痕迹。订单完成后有改价、改单或换人，必须形成新版本与原因，不能直接把历史字段覆写。尤其当客户跨区域经营时，一个门店的推荐并不必然覆盖集团所有门店；若员工负责多个客户，也不必然对他曾经接触过的所有订单享有提成。关系的业务边界要和客户主体、门店、区域、商品及政策有效期对应。</w:t>
      </w:r>
    </w:p>
    <w:p>
      <w:pPr>
        <w:pStyle w:val="BodyText"/>
        <w:spacing w:after="160" w:line="348" w:lineRule="auto"/>
        <w:ind w:firstLine="420"/>
      </w:pPr>
      <w:r>
        <w:rPr>
          <w:rFonts w:ascii="Microsoft YaHei" w:hAnsi="Microsoft YaHei" w:eastAsia="Microsoft YaHei"/>
          <w:sz w:val="21"/>
        </w:rPr>
        <w:t>当双方都声称带来客户时，先把证据分为可核实的业务时间线：伙伴何时介绍、客户何时注册、员工何时报价、客户何时下单和付款。缺关键证据的订单标记待核，暂不纳入自动发奖清单；财务仍可按合同继续履约与收款，不应为了奖金争议停发正常订单。复核会议只处理有差异的事实或规则，例如“该客户是否为老客户重新激活”，而不是让销售和伙伴在微信群里口头商定一个金额。争议结果写入订单关联记录，下一次复购可按已经确定的政策执行。</w:t>
      </w:r>
    </w:p>
    <w:p>
      <w:pPr>
        <w:pStyle w:val="BodyText"/>
        <w:spacing w:after="160" w:line="348" w:lineRule="auto"/>
        <w:ind w:firstLine="420"/>
      </w:pPr>
      <w:r>
        <w:rPr>
          <w:rFonts w:ascii="Microsoft YaHei" w:hAnsi="Microsoft YaHei" w:eastAsia="Microsoft YaHei"/>
          <w:sz w:val="21"/>
        </w:rPr>
        <w:t>系统里的“业务统计”真实页面能够按所属员工列关联客户、订货客户、订单数、订单金额等字段。这些字段可用于检查内部销售口径是否有漏单或错归属，但截图样本当前订单额为零，不能证明本文示例订单或提成已在系统生成；更不能拿员工业务统计直接给外部推荐人结佣金。企业若从该页面导出实际数据，也须回到订单明细、收款和退款凭证复算。</w:t>
      </w:r>
    </w:p>
    <w:p>
      <w:pPr>
        <w:keepNext/>
        <w:jc w:val="center"/>
      </w:pPr>
      <w:r>
        <w:drawing>
          <wp:inline xmlns:a="http://schemas.openxmlformats.org/drawingml/2006/main" xmlns:pic="http://schemas.openxmlformats.org/drawingml/2006/picture">
            <wp:extent cx="5806440" cy="2147587"/>
            <wp:docPr id="3" name="Picture 3" descr="云上订货业务统计中按所属员工展示客户和订单相关字段的真实页面" title="云上订货业务统计中按所属员工展示客户和订单相关字段的真实页面"/>
            <wp:cNvGraphicFramePr>
              <a:graphicFrameLocks noChangeAspect="1"/>
            </wp:cNvGraphicFramePr>
            <a:graphic>
              <a:graphicData uri="http://schemas.openxmlformats.org/drawingml/2006/picture">
                <pic:pic>
                  <pic:nvPicPr>
                    <pic:cNvPr id="0" name="SC000179S1-员工业务统计真实界面.png"/>
                    <pic:cNvPicPr/>
                  </pic:nvPicPr>
                  <pic:blipFill>
                    <a:blip r:embed="rId13"/>
                    <a:stretch>
                      <a:fillRect/>
                    </a:stretch>
                  </pic:blipFill>
                  <pic:spPr>
                    <a:xfrm>
                      <a:off x="0" y="0"/>
                      <a:ext cx="5806440" cy="2147587"/>
                    </a:xfrm>
                    <a:prstGeom prst="rect"/>
                  </pic:spPr>
                </pic:pic>
              </a:graphicData>
            </a:graphic>
          </wp:inline>
        </w:drawing>
      </w:r>
    </w:p>
    <w:p>
      <w:pPr>
        <w:spacing w:after="200"/>
        <w:jc w:val="center"/>
      </w:pPr>
      <w:r>
        <w:rPr>
          <w:rFonts w:ascii="Microsoft YaHei" w:hAnsi="Microsoft YaHei" w:eastAsia="Microsoft YaHei"/>
          <w:color w:val="596C78"/>
          <w:sz w:val="18"/>
        </w:rPr>
        <w:t>图3：真实界面只说明员工维度可核哪些字段；样本为零，佣金、提成和支付状态仍须按原单与政策另行确认。</w:t>
      </w:r>
    </w:p>
    <w:p>
      <w:pPr>
        <w:pStyle w:val="Heading1"/>
        <w:keepNext/>
        <w:pageBreakBefore w:val="0"/>
        <w:spacing w:before="360" w:after="160"/>
      </w:pPr>
      <w:r>
        <w:rPr>
          <w:rFonts w:ascii="Microsoft YaHei" w:hAnsi="Microsoft YaHei" w:eastAsia="Microsoft YaHei"/>
          <w:sz w:val="32"/>
        </w:rPr>
        <w:t>佣金和提成建两本明细账，共用同一笔订单底稿</w:t>
      </w:r>
    </w:p>
    <w:p>
      <w:pPr>
        <w:pStyle w:val="BodyText"/>
        <w:spacing w:after="160" w:line="348" w:lineRule="auto"/>
        <w:ind w:firstLine="420"/>
      </w:pPr>
      <w:r>
        <w:rPr>
          <w:rFonts w:ascii="Microsoft YaHei" w:hAnsi="Microsoft YaHei" w:eastAsia="Microsoft YaHei"/>
          <w:sz w:val="21"/>
        </w:rPr>
        <w:t>以一笔演示订单说明：门店下单10,000元，其中2,000元尚未达到政策约定的收款或交付条件，当前有效基数为8,000元。假设已签认政策规定推荐佣金按有效基数的3%计算、员工销售提成按同一有效基数的2%计算，并允许两类奖励并行，那么外部推荐佣金是240元，员工提成是160元。这里采用相同基数只是方便读者核算，真实政策也可能让外部佣金按首单实收、员工提成按贡献毛利，不能为了表格好看而擅自统一。订单未达条件的2,000元要保留待确认状态，不可直接删除也不可提前计提。</w:t>
      </w:r>
    </w:p>
    <w:p>
      <w:pPr>
        <w:keepNext/>
        <w:jc w:val="center"/>
      </w:pPr>
      <w:r>
        <w:drawing>
          <wp:inline xmlns:a="http://schemas.openxmlformats.org/drawingml/2006/main" xmlns:pic="http://schemas.openxmlformats.org/drawingml/2006/picture">
            <wp:extent cx="5806440" cy="3442389"/>
            <wp:docPr id="4" name="Picture 4" descr="同一订单下外部推荐佣金和内部员工提成的独立对象、基数与计算底稿" title="同一订单下外部推荐佣金和内部员工提成的独立对象、基数与计算底稿"/>
            <wp:cNvGraphicFramePr>
              <a:graphicFrameLocks noChangeAspect="1"/>
            </wp:cNvGraphicFramePr>
            <a:graphic>
              <a:graphicData uri="http://schemas.openxmlformats.org/drawingml/2006/picture">
                <pic:pic>
                  <pic:nvPicPr>
                    <pic:cNvPr id="0" name="SC000179D3-双轨计算底稿.png"/>
                    <pic:cNvPicPr/>
                  </pic:nvPicPr>
                  <pic:blipFill>
                    <a:blip r:embed="rId14"/>
                    <a:stretch>
                      <a:fillRect/>
                    </a:stretch>
                  </pic:blipFill>
                  <pic:spPr>
                    <a:xfrm>
                      <a:off x="0" y="0"/>
                      <a:ext cx="5806440" cy="3442389"/>
                    </a:xfrm>
                    <a:prstGeom prst="rect"/>
                  </pic:spPr>
                </pic:pic>
              </a:graphicData>
            </a:graphic>
          </wp:inline>
        </w:drawing>
      </w:r>
    </w:p>
    <w:p>
      <w:pPr>
        <w:spacing w:after="200"/>
        <w:jc w:val="center"/>
      </w:pPr>
      <w:r>
        <w:rPr>
          <w:rFonts w:ascii="Microsoft YaHei" w:hAnsi="Microsoft YaHei" w:eastAsia="Microsoft YaHei"/>
          <w:color w:val="596C78"/>
          <w:sz w:val="18"/>
        </w:rPr>
        <w:t>图4：240元付给外部推荐人、160元进入内部员工提成链，两笔钱共享订单证据却不共享收款主体。</w:t>
      </w:r>
    </w:p>
    <w:p>
      <w:pPr>
        <w:pStyle w:val="BodyText"/>
        <w:spacing w:after="160" w:line="348" w:lineRule="auto"/>
        <w:ind w:firstLine="420"/>
      </w:pPr>
      <w:r>
        <w:rPr>
          <w:rFonts w:ascii="Microsoft YaHei" w:hAnsi="Microsoft YaHei" w:eastAsia="Microsoft YaHei"/>
          <w:sz w:val="21"/>
        </w:rPr>
        <w:t>外部佣金台账要列推荐人身份、有效推荐关系、政策版本、订单及商品行、核准基数、费率、应计佣金、已支付、待支付和冲回。内部提成台账列员工编号、所属部门、客户及订单归属、政策版本、核准基数、角色分成、应计提成、已进入工资或绩效支付的金额、待发和冲回。两本台账都回指同一订单，但审批与付款路径分别走对外合作结算和内部薪酬流程。财务不能把两人合并成一条“奖励400元”，因为支付对象、凭证、审核人和后续调整方式都不同。</w:t>
      </w:r>
    </w:p>
    <w:p>
      <w:pPr>
        <w:pStyle w:val="BodyText"/>
        <w:spacing w:after="160" w:line="348" w:lineRule="auto"/>
        <w:ind w:firstLine="420"/>
      </w:pPr>
      <w:r>
        <w:rPr>
          <w:rFonts w:ascii="Microsoft YaHei" w:hAnsi="Microsoft YaHei" w:eastAsia="Microsoft YaHei"/>
          <w:sz w:val="21"/>
        </w:rPr>
        <w:t>结算人要核三个状态：应计是依据业务事实算出的资格金额，核准是相关负责人同意该金额，已发是支付流水真正完成。推广人看到“待结算”不能解释为钱已经到账；员工看到绩效统计金额，也不能据此认定提成已进入工资。若一笔订单涉及两个员工，如线索销售与成交销售分工，先依据内部规则在160元以内拆分，不能两个人各领160元。若推荐人又是公司员工，更要按身份、行为及企业制度确定属于哪条政策，防止同一贡献换两个名目重复申领。</w:t>
      </w:r>
    </w:p>
    <w:p>
      <w:pPr>
        <w:pStyle w:val="Heading1"/>
        <w:keepNext/>
        <w:pageBreakBefore w:val="0"/>
        <w:spacing w:before="360" w:after="160"/>
      </w:pPr>
      <w:r>
        <w:rPr>
          <w:rFonts w:ascii="Microsoft YaHei" w:hAnsi="Microsoft YaHei" w:eastAsia="Microsoft YaHei"/>
          <w:sz w:val="32"/>
        </w:rPr>
        <w:t>退货时两条奖励分别冲回，不能只改订单金额</w:t>
      </w:r>
    </w:p>
    <w:p>
      <w:pPr>
        <w:pStyle w:val="BodyText"/>
        <w:spacing w:after="160" w:line="348" w:lineRule="auto"/>
        <w:ind w:firstLine="420"/>
      </w:pPr>
      <w:r>
        <w:rPr>
          <w:rFonts w:ascii="Microsoft YaHei" w:hAnsi="Microsoft YaHei" w:eastAsia="Microsoft YaHei"/>
          <w:sz w:val="21"/>
        </w:rPr>
        <w:t>沿用8,000元有效基数的演示订单，客户随后退回并完成退款2,000元。若两类政策都按扣除退货后的净额计算，新的有效基数为6,000元，推荐佣金重算为180元，员工提成为120元；原先相比分别多计60元和40元。财务需把退货单、原订单和两份原核算记录关联，生成两条调整，而不是把旧台账上的240元与160元悄悄改掉。若退货会使首单门槛失效或出现责任例外，就按照原政策重新判断是否仍有资格，不能一律用退货金额乘费率。</w:t>
      </w:r>
    </w:p>
    <w:p>
      <w:pPr>
        <w:keepNext/>
        <w:jc w:val="center"/>
      </w:pPr>
      <w:r>
        <w:drawing>
          <wp:inline xmlns:a="http://schemas.openxmlformats.org/drawingml/2006/main" xmlns:pic="http://schemas.openxmlformats.org/drawingml/2006/picture">
            <wp:extent cx="5806440" cy="3442389"/>
            <wp:docPr id="5" name="Picture 5" descr="退货后分别重算外部佣金和内部提成、保留原记录并处理已发款项" title="退货后分别重算外部佣金和内部提成、保留原记录并处理已发款项"/>
            <wp:cNvGraphicFramePr>
              <a:graphicFrameLocks noChangeAspect="1"/>
            </wp:cNvGraphicFramePr>
            <a:graphic>
              <a:graphicData uri="http://schemas.openxmlformats.org/drawingml/2006/picture">
                <pic:pic>
                  <pic:nvPicPr>
                    <pic:cNvPr id="0" name="SC000179D4-退货双轨冲回.png"/>
                    <pic:cNvPicPr/>
                  </pic:nvPicPr>
                  <pic:blipFill>
                    <a:blip r:embed="rId15"/>
                    <a:stretch>
                      <a:fillRect/>
                    </a:stretch>
                  </pic:blipFill>
                  <pic:spPr>
                    <a:xfrm>
                      <a:off x="0" y="0"/>
                      <a:ext cx="5806440" cy="3442389"/>
                    </a:xfrm>
                    <a:prstGeom prst="rect"/>
                  </pic:spPr>
                </pic:pic>
              </a:graphicData>
            </a:graphic>
          </wp:inline>
        </w:drawing>
      </w:r>
    </w:p>
    <w:p>
      <w:pPr>
        <w:spacing w:after="200"/>
        <w:jc w:val="center"/>
      </w:pPr>
      <w:r>
        <w:rPr>
          <w:rFonts w:ascii="Microsoft YaHei" w:hAnsi="Microsoft YaHei" w:eastAsia="Microsoft YaHei"/>
          <w:color w:val="596C78"/>
          <w:sz w:val="18"/>
        </w:rPr>
        <w:t>图5：演示退货2,000元使佣金少60元、提成少40元；未发款项与已发款项采取不同冲回路径。</w:t>
      </w:r>
    </w:p>
    <w:p>
      <w:pPr>
        <w:pStyle w:val="BodyText"/>
        <w:spacing w:after="160" w:line="348" w:lineRule="auto"/>
        <w:ind w:firstLine="420"/>
      </w:pPr>
      <w:r>
        <w:rPr>
          <w:rFonts w:ascii="Microsoft YaHei" w:hAnsi="Microsoft YaHei" w:eastAsia="Microsoft YaHei"/>
          <w:sz w:val="21"/>
        </w:rPr>
        <w:t>如果两笔奖励都尚未支付，可在核准后减少待付；若推荐佣金已经汇给伙伴，按合作协议形成返还或后续合规抵扣安排，不能把它直接记作员工扣薪。若员工提成已发，按企业有效制度和工资处理流程解决，不能把“对外佣金冲回”当成扣员工工资的理由。发生质量责任争议时，先确定退货和退款事实，再按政策确认奖励的调整范围；对未确定责任的差额可以暂列待复核，已确定的无争议部分仍按时结算。每次调整都记录“原应计、调整原因、应冲回、已冲回、未冲回”，避免下一期再次全额计提或重复追回。</w:t>
      </w:r>
    </w:p>
    <w:p>
      <w:pPr>
        <w:pStyle w:val="BodyText"/>
        <w:spacing w:after="160" w:line="348" w:lineRule="auto"/>
        <w:ind w:firstLine="420"/>
      </w:pPr>
      <w:r>
        <w:rPr>
          <w:rFonts w:ascii="Microsoft YaHei" w:hAnsi="Microsoft YaHei" w:eastAsia="Microsoft YaHei"/>
          <w:sz w:val="21"/>
        </w:rPr>
        <w:t>退款与返利、优惠也可能叠在同一单上：门店原享受满减，退货后不满足门槛；推荐人仍要求按原订单额拿佣金；员工拿报表上的订单金额申领提成。此时先回到交易实际：客户最终留下哪些货、企业实际收了多少、已给客户多少优惠，再依各政策分别算。用于核算奖励的有效订单金额不能大于可核实的交易事实；但优惠是否从基数扣除，仍取决于事先政策。每一步留订单与支付流水，才有能力解释差异，而不是用一个“财务调整额”盖过四种不同变化。</w:t>
      </w:r>
    </w:p>
    <w:p>
      <w:pPr>
        <w:pStyle w:val="Heading1"/>
        <w:keepNext/>
        <w:pageBreakBefore w:val="0"/>
        <w:spacing w:before="360" w:after="160"/>
      </w:pPr>
      <w:r>
        <w:rPr>
          <w:rFonts w:ascii="Microsoft YaHei" w:hAnsi="Microsoft YaHei" w:eastAsia="Microsoft YaHei"/>
          <w:sz w:val="32"/>
        </w:rPr>
        <w:t>老板最后看按单贡献：双奖是否买到了可持续增长</w:t>
      </w:r>
    </w:p>
    <w:p>
      <w:pPr>
        <w:pStyle w:val="BodyText"/>
        <w:spacing w:after="160" w:line="348" w:lineRule="auto"/>
        <w:ind w:firstLine="420"/>
      </w:pPr>
      <w:r>
        <w:rPr>
          <w:rFonts w:ascii="Microsoft YaHei" w:hAnsi="Microsoft YaHei" w:eastAsia="Microsoft YaHei"/>
          <w:sz w:val="21"/>
        </w:rPr>
        <w:t>允许双奖的目的应是获得原本难触达的客户，同时保留员工做好成交和服务的积极性。老板不能只看订单额涨了多少，至少要把客户实际净收入、商品进货成本、推荐佣金、员工提成、客户优惠、配送和售后成本放在同一订单或同一客户周期下。示例中若有效收入为8,000元、扣商品成本后的贡献毛利为1,600元，再付推荐佣金240元、员工提成160元、优惠200元和配送售后150元，初步剩余贡献为850元。它不是完整财务利润，还没有包含坏账、固定费用和税费，却足以提醒管理者：两份奖金要和实际贡献一起看。</w:t>
      </w:r>
    </w:p>
    <w:p>
      <w:pPr>
        <w:keepNext/>
        <w:jc w:val="center"/>
      </w:pPr>
      <w:r>
        <w:drawing>
          <wp:inline xmlns:a="http://schemas.openxmlformats.org/drawingml/2006/main" xmlns:pic="http://schemas.openxmlformats.org/drawingml/2006/picture">
            <wp:extent cx="5806440" cy="3442389"/>
            <wp:docPr id="6" name="Picture 6" descr="将推荐佣金、员工提成、优惠及履约成本纳入同一订单贡献试算" title="将推荐佣金、员工提成、优惠及履约成本纳入同一订单贡献试算"/>
            <wp:cNvGraphicFramePr>
              <a:graphicFrameLocks noChangeAspect="1"/>
            </wp:cNvGraphicFramePr>
            <a:graphic>
              <a:graphicData uri="http://schemas.openxmlformats.org/drawingml/2006/picture">
                <pic:pic>
                  <pic:nvPicPr>
                    <pic:cNvPr id="0" name="SC000179D5-按单获客成本.png"/>
                    <pic:cNvPicPr/>
                  </pic:nvPicPr>
                  <pic:blipFill>
                    <a:blip r:embed="rId16"/>
                    <a:stretch>
                      <a:fillRect/>
                    </a:stretch>
                  </pic:blipFill>
                  <pic:spPr>
                    <a:xfrm>
                      <a:off x="0" y="0"/>
                      <a:ext cx="5806440" cy="3442389"/>
                    </a:xfrm>
                    <a:prstGeom prst="rect"/>
                  </pic:spPr>
                </pic:pic>
              </a:graphicData>
            </a:graphic>
          </wp:inline>
        </w:drawing>
      </w:r>
    </w:p>
    <w:p>
      <w:pPr>
        <w:spacing w:after="200"/>
        <w:jc w:val="center"/>
      </w:pPr>
      <w:r>
        <w:rPr>
          <w:rFonts w:ascii="Microsoft YaHei" w:hAnsi="Microsoft YaHei" w:eastAsia="Microsoft YaHei"/>
          <w:color w:val="596C78"/>
          <w:sz w:val="18"/>
        </w:rPr>
        <w:t>图6：演示按单剩余贡献850元的形成；若退货、坏账或费用变化，要重新计算，不能只汇报销售额。</w:t>
      </w:r>
    </w:p>
    <w:p>
      <w:pPr>
        <w:pStyle w:val="BodyText"/>
        <w:spacing w:after="160" w:line="348" w:lineRule="auto"/>
        <w:ind w:firstLine="420"/>
      </w:pPr>
      <w:r>
        <w:rPr>
          <w:rFonts w:ascii="Microsoft YaHei" w:hAnsi="Microsoft YaHei" w:eastAsia="Microsoft YaHei"/>
          <w:sz w:val="21"/>
        </w:rPr>
        <w:t>试点可先选一个区域、一类门店和一个清楚的推荐活动，连续抽三种订单：只有推荐人、只有员工销售、两类同时参与。运营核关系与触达时间，销售主管核客户负责人和报价服务记录，财务从订单行、实际回款、退货和政策版本独立重算，两名收款对象各自确认核准额。再取一笔已结算后退货的订单，验证两条冲回都能回指原单、原发放流水，并且不会在下个周期重复支付。出现大量“关系补填”“订单归属临时变更”“毛利低于获取成本”时，应暂停扩大活动，先修政策和证据链。</w:t>
      </w:r>
    </w:p>
    <w:p>
      <w:pPr>
        <w:pStyle w:val="BodyText"/>
        <w:spacing w:after="160" w:line="348" w:lineRule="auto"/>
        <w:ind w:firstLine="420"/>
      </w:pPr>
      <w:r>
        <w:rPr>
          <w:rFonts w:ascii="Microsoft YaHei" w:hAnsi="Microsoft YaHei" w:eastAsia="Microsoft YaHei"/>
          <w:sz w:val="21"/>
        </w:rPr>
        <w:t>一篇合格的结算说明最终要能回答六个具体问题：谁推荐、谁成交、哪张订单符合哪一版规则、两人各应拿多少、实际各收多少、退货后各需调整多少。回答不出来就不要把清单标成已结清。把关系、政策、订单、付款和退货保留为可逐笔复算的链路，企业才可以既认可不同岗位的真实贡献，又控制重复计奖和无利润扩张。</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SC-000179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分销推荐与员工销售同时参与，怎样分别核对佣金和销售提成｜云上订货系统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