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上游粮油供应商要求现款，下游餐饮大客户要月结，企业怎样决定这笔生意能不能接｜云上订货系统</w:t>
      </w:r>
    </w:p>
    <w:p>
      <w:pPr>
        <w:pStyle w:val="BodyText"/>
        <w:spacing w:after="80" w:line="317" w:lineRule="auto"/>
        <w:ind w:firstLine="420"/>
      </w:pPr>
      <w:r>
        <w:rPr>
          <w:rFonts w:ascii="Microsoft YaHei" w:hAnsi="Microsoft YaHei" w:eastAsia="Microsoft YaHei"/>
          <w:sz w:val="21"/>
        </w:rPr>
        <w:t>接到一家连锁餐饮的年度采购需求，粮油配送商往往先算销售额和商品差价：合同每周能出八万元货，价差看起来足以养一支配送队伍。但上游要求每批现款，客户却约定月底对账、次月付款。合同签下后，第二批、第三批采购款已经付出，第一批销售款还没回来；某门店短送或退货，又可能延后整期对账。此时企业面临的不是“有没有利润”，而是“在钱回来之前，最多要垫多少，谁承担结算争议，现金能否撑到第一笔真正到账”。这笔生意能不能接，要先过资金与履约两道闸门。</w:t>
      </w:r>
    </w:p>
    <w:p>
      <w:pPr>
        <w:pStyle w:val="Heading1"/>
        <w:keepNext/>
        <w:pageBreakBefore w:val="0"/>
        <w:spacing w:before="360" w:after="160"/>
      </w:pPr>
      <w:r>
        <w:rPr>
          <w:rFonts w:ascii="Microsoft YaHei" w:hAnsi="Microsoft YaHei" w:eastAsia="Microsoft YaHei"/>
          <w:sz w:val="32"/>
        </w:rPr>
        <w:t>先画现金日历：一笔订单的毛利不等于连续供货的资金能力</w:t>
      </w:r>
    </w:p>
    <w:p>
      <w:pPr>
        <w:pStyle w:val="BodyText"/>
        <w:spacing w:after="80" w:line="317" w:lineRule="auto"/>
        <w:ind w:firstLine="420"/>
      </w:pPr>
      <w:r>
        <w:rPr>
          <w:rFonts w:ascii="Microsoft YaHei" w:hAnsi="Microsoft YaHei" w:eastAsia="Microsoft YaHei"/>
          <w:sz w:val="21"/>
        </w:rPr>
        <w:t>假设供应商在确认采购时收款，大客户每周送货、月底汇总门店签收，下一月核账付款。第零天付第一批采购款，第七天付第二批，第二十一天仍在为后续门店补货，而客户可能到第三十五天才付首期款。订单一笔一笔看都有进销差价，连续供货叠在一起却形成逐日增加的垫资。若客户在付款日之前提出一处签收争议，实际到账日还要后移。企业不应只把合同“月结三十天”当作资金占用天数，应从每笔真实采购付款日算到对应客户实际到账日。</w:t>
      </w:r>
    </w:p>
    <w:p>
      <w:pPr>
        <w:pStyle w:val="BodyText"/>
        <w:spacing w:after="80" w:line="317" w:lineRule="auto"/>
        <w:ind w:firstLine="420"/>
      </w:pPr>
      <w:r>
        <w:rPr>
          <w:rFonts w:ascii="Microsoft YaHei" w:hAnsi="Microsoft YaHei" w:eastAsia="Microsoft YaHei"/>
          <w:sz w:val="21"/>
        </w:rPr>
        <w:t>对老板最有用的指标是峰值资金缺口，即这个合同运行期间，公司最多同时替客户垫出多少钱。月底应收余额是一个截面，不能说明前一周采购支出是否曾超过账上可用现金。备货库存、在途采购、已发未签的销售货和已签未到账的应收也要同时看，防止同一批货在不同状态里被忽略或重复计算。还要把其他客户正常采购、工资、房租和税费所需的最低现金留出来，不能把银行账户现有余额全部许给新客户。</w:t>
      </w:r>
    </w:p>
    <w:p>
      <w:pPr>
        <w:keepNext/>
        <w:jc w:val="center"/>
      </w:pPr>
      <w:r>
        <w:drawing>
          <wp:inline xmlns:a="http://schemas.openxmlformats.org/drawingml/2006/main" xmlns:pic="http://schemas.openxmlformats.org/drawingml/2006/picture">
            <wp:extent cx="4846320" cy="2726055"/>
            <wp:docPr id="1" name="Picture 1" descr="上游现款采购与连锁餐饮月结回款在连续四周内产生的现金错位时序" title="上游现款采购与连锁餐饮月结回款在连续四周内产生的现金错位时序"/>
            <wp:cNvGraphicFramePr>
              <a:graphicFrameLocks noChangeAspect="1"/>
            </wp:cNvGraphicFramePr>
            <a:graphic>
              <a:graphicData uri="http://schemas.openxmlformats.org/drawingml/2006/picture">
                <pic:pic>
                  <pic:nvPicPr>
                    <pic:cNvPr id="0" name="现采月结现金错位.png"/>
                    <pic:cNvPicPr/>
                  </pic:nvPicPr>
                  <pic:blipFill>
                    <a:blip r:embed="rId11"/>
                    <a:stretch>
                      <a:fillRect/>
                    </a:stretch>
                  </pic:blipFill>
                  <pic:spPr>
                    <a:xfrm>
                      <a:off x="0" y="0"/>
                      <a:ext cx="4846320" cy="2726055"/>
                    </a:xfrm>
                    <a:prstGeom prst="rect"/>
                  </pic:spPr>
                </pic:pic>
              </a:graphicData>
            </a:graphic>
          </wp:inline>
        </w:drawing>
      </w:r>
    </w:p>
    <w:p>
      <w:pPr>
        <w:spacing w:after="200"/>
        <w:jc w:val="center"/>
      </w:pPr>
      <w:r>
        <w:rPr>
          <w:rFonts w:ascii="Microsoft YaHei" w:hAnsi="Microsoft YaHei" w:eastAsia="Microsoft YaHei"/>
          <w:color w:val="596C78"/>
          <w:sz w:val="18"/>
        </w:rPr>
        <w:t>图1：每周新订单不断追加付款，而旧订单尚未回款。决策应以真实付款日至到账日的峰值垫资为依据。</w:t>
      </w:r>
    </w:p>
    <w:p>
      <w:pPr>
        <w:pStyle w:val="Heading1"/>
        <w:keepNext/>
        <w:pageBreakBefore w:val="0"/>
        <w:spacing w:before="360" w:after="160"/>
      </w:pPr>
      <w:r>
        <w:rPr>
          <w:rFonts w:ascii="Microsoft YaHei" w:hAnsi="Microsoft YaHei" w:eastAsia="Microsoft YaHei"/>
          <w:sz w:val="32"/>
        </w:rPr>
        <w:t>用简化算例判断：有差价，却可能没有钱履约</w:t>
      </w:r>
    </w:p>
    <w:p>
      <w:pPr>
        <w:pStyle w:val="BodyText"/>
        <w:spacing w:after="80" w:line="317" w:lineRule="auto"/>
        <w:ind w:firstLine="420"/>
      </w:pPr>
      <w:r>
        <w:rPr>
          <w:rFonts w:ascii="Microsoft YaHei" w:hAnsi="Microsoft YaHei" w:eastAsia="Microsoft YaHei"/>
          <w:sz w:val="21"/>
        </w:rPr>
        <w:t>假设客户每周下八万元订单，同批商品向供方现款采购七万三千元，连续四周销售三十二万元，商品进销差价合计二万八千元。若客户首期付款在第四周之后才发生，仅采购款就要先付二十九万二千元，尚未计司机、装卸、配送、仓储和其他客户业务。如果企业在不影响正常经营的前提下只能拿出二十万元现金，初步缺口至少九万二千元。即便二万八千元差价最终全部能赚到，公司也无法用“未来利润”支付今天的采购款。</w:t>
      </w:r>
    </w:p>
    <w:p>
      <w:pPr>
        <w:pStyle w:val="BodyText"/>
        <w:spacing w:after="80" w:line="317" w:lineRule="auto"/>
        <w:ind w:firstLine="420"/>
      </w:pPr>
      <w:r>
        <w:rPr>
          <w:rFonts w:ascii="Microsoft YaHei" w:hAnsi="Microsoft YaHei" w:eastAsia="Microsoft YaHei"/>
          <w:sz w:val="21"/>
        </w:rPr>
        <w:t>这个算例只为说明比较方法，实际峰值应按日滚动。若第一批用现有库存，首周采购支出会下降，但库存原本也占用过现金，补仓时间仍要算进去；若供方允许部分账期，峰值会下降，但延期付款是否有加价或额度限制要算清；若客户预付订金，须明确订金覆盖哪些门店和订单，不要把客户尚未付款的口头承诺记成现金。经营团队至少准备正常到款、延迟一周、某些门店拒收三种情形，分别核资金缺口。只测合同理想路径，往往会低估旺季最危险的时点。</w:t>
      </w:r>
    </w:p>
    <w:p>
      <w:pPr>
        <w:keepNext/>
        <w:jc w:val="center"/>
      </w:pPr>
      <w:r>
        <w:drawing>
          <wp:inline xmlns:a="http://schemas.openxmlformats.org/drawingml/2006/main" xmlns:pic="http://schemas.openxmlformats.org/drawingml/2006/picture">
            <wp:extent cx="4846320" cy="2726055"/>
            <wp:docPr id="2" name="Picture 2" descr="每周八万元销售四周连续供货时采购现付商品差价与资金缺口的示范算例" title="每周八万元销售四周连续供货时采购现付商品差价与资金缺口的示范算例"/>
            <wp:cNvGraphicFramePr>
              <a:graphicFrameLocks noChangeAspect="1"/>
            </wp:cNvGraphicFramePr>
            <a:graphic>
              <a:graphicData uri="http://schemas.openxmlformats.org/drawingml/2006/picture">
                <pic:pic>
                  <pic:nvPicPr>
                    <pic:cNvPr id="0" name="连锁四周资金压力算例.png"/>
                    <pic:cNvPicPr/>
                  </pic:nvPicPr>
                  <pic:blipFill>
                    <a:blip r:embed="rId12"/>
                    <a:stretch>
                      <a:fillRect/>
                    </a:stretch>
                  </pic:blipFill>
                  <pic:spPr>
                    <a:xfrm>
                      <a:off x="0" y="0"/>
                      <a:ext cx="4846320" cy="2726055"/>
                    </a:xfrm>
                    <a:prstGeom prst="rect"/>
                  </pic:spPr>
                </pic:pic>
              </a:graphicData>
            </a:graphic>
          </wp:inline>
        </w:drawing>
      </w:r>
    </w:p>
    <w:p>
      <w:pPr>
        <w:spacing w:after="200"/>
        <w:jc w:val="center"/>
      </w:pPr>
      <w:r>
        <w:rPr>
          <w:rFonts w:ascii="Microsoft YaHei" w:hAnsi="Microsoft YaHei" w:eastAsia="Microsoft YaHei"/>
          <w:color w:val="596C78"/>
          <w:sz w:val="18"/>
        </w:rPr>
        <w:t>图2：四周进销差价预计二万八千元，但首期回款前采购需付二十九万二千元；可用现金不足时须先改交易条件。</w:t>
      </w:r>
    </w:p>
    <w:p>
      <w:pPr>
        <w:pStyle w:val="BodyText"/>
        <w:spacing w:after="80" w:line="317" w:lineRule="auto"/>
        <w:ind w:firstLine="420"/>
      </w:pPr>
      <w:r>
        <w:rPr>
          <w:rFonts w:ascii="Microsoft YaHei" w:hAnsi="Microsoft YaHei" w:eastAsia="Microsoft YaHei"/>
          <w:sz w:val="21"/>
        </w:rPr>
        <w:t>资金成本还会吞掉一部分差价。不要简单把“贷款利率乘销售额”作为占资成本，应按真实垫付金额、占用天数和企业实际资金成本估算，并与配送、损耗、退换、可能坏账分开记录。企业若为拿下合同要求仓库专门备冷冻品、定制包装或指定品牌，还要考虑客户停单后是否可卖给其他人。现金缺口可由资金安排解决，但无法转卖的库存风险不会因此消失。</w:t>
      </w:r>
    </w:p>
    <w:p>
      <w:pPr>
        <w:pStyle w:val="Heading1"/>
        <w:keepNext/>
        <w:pageBreakBefore w:val="0"/>
        <w:spacing w:before="360" w:after="160"/>
      </w:pPr>
      <w:r>
        <w:rPr>
          <w:rFonts w:ascii="Microsoft YaHei" w:hAnsi="Microsoft YaHei" w:eastAsia="Microsoft YaHei"/>
          <w:sz w:val="32"/>
        </w:rPr>
        <w:t>能接、改条件再接、限量接和暂缓接，各有清楚边界</w:t>
      </w:r>
    </w:p>
    <w:p>
      <w:pPr>
        <w:pStyle w:val="BodyText"/>
        <w:spacing w:after="80" w:line="317" w:lineRule="auto"/>
        <w:ind w:firstLine="420"/>
      </w:pPr>
      <w:r>
        <w:rPr>
          <w:rFonts w:ascii="Microsoft YaHei" w:hAnsi="Microsoft YaHei" w:eastAsia="Microsoft YaHei"/>
          <w:sz w:val="21"/>
        </w:rPr>
        <w:t>第一种是原条件可接：客户结算主体清楚，历史回款可靠，合同对签收和争议的处理明确，企业在正常业务之外仍有足够现金覆盖峰值垫资，扣掉履约和占资后订单贡献为正。第二种是改条件再接：谈首批预付款、部分品类预付、压缩对账周期、集中门店送货，或者与供方协商部分账期。改变的不应只是一句“会尽快付款”，而要能写进合同并在真实订单执行。第三种是限量试接：只开放某些门店、品类或每周额度，客户第一期实际到账后才扩店扩货盘。第四种是暂缓：若客户坚持长账期、拒绝确认扣款责任，上游又要求全额现款，而企业现金缓冲不足，就不应靠拿员工工资或其他客户货款去赌回款。</w:t>
      </w:r>
    </w:p>
    <w:p>
      <w:pPr>
        <w:pStyle w:val="BodyText"/>
        <w:spacing w:after="80" w:line="317" w:lineRule="auto"/>
        <w:ind w:firstLine="420"/>
      </w:pPr>
      <w:r>
        <w:rPr>
          <w:rFonts w:ascii="Microsoft YaHei" w:hAnsi="Microsoft YaHei" w:eastAsia="Microsoft YaHei"/>
          <w:sz w:val="21"/>
        </w:rPr>
        <w:t>授信额度可以限制已下单、已发货和未结清的风险敞口，但额度规则不能代替合同、客户付款能力和财务审批。总部签约而多个门店下单时，要定义谁是应收债务主体、额度是总部共享还是门店各自可用、哪张签收单可作为对账证据。若把每家门店都设一个额度却由同一总部付款，系统里的多个限额相加可能掩盖总部总风险。若某门店要求临时增加数量，业务员也不能越权口头承诺，应在授信、库存和供方可交量复核后答复。</w:t>
      </w:r>
    </w:p>
    <w:p>
      <w:pPr>
        <w:keepNext/>
        <w:jc w:val="center"/>
      </w:pPr>
      <w:r>
        <w:drawing>
          <wp:inline xmlns:a="http://schemas.openxmlformats.org/drawingml/2006/main" xmlns:pic="http://schemas.openxmlformats.org/drawingml/2006/picture">
            <wp:extent cx="4846320" cy="2726055"/>
            <wp:docPr id="3" name="Picture 3" descr="粮油现采月结业务按峰值垫资与实际贡献选择预付限额供方条件或暂缓的决策路径" title="粮油现采月结业务按峰值垫资与实际贡献选择预付限额供方条件或暂缓的决策路径"/>
            <wp:cNvGraphicFramePr>
              <a:graphicFrameLocks noChangeAspect="1"/>
            </wp:cNvGraphicFramePr>
            <a:graphic>
              <a:graphicData uri="http://schemas.openxmlformats.org/drawingml/2006/picture">
                <pic:pic>
                  <pic:nvPicPr>
                    <pic:cNvPr id="0" name="接单条件四路选择.png"/>
                    <pic:cNvPicPr/>
                  </pic:nvPicPr>
                  <pic:blipFill>
                    <a:blip r:embed="rId13"/>
                    <a:stretch>
                      <a:fillRect/>
                    </a:stretch>
                  </pic:blipFill>
                  <pic:spPr>
                    <a:xfrm>
                      <a:off x="0" y="0"/>
                      <a:ext cx="4846320" cy="2726055"/>
                    </a:xfrm>
                    <a:prstGeom prst="rect"/>
                  </pic:spPr>
                </pic:pic>
              </a:graphicData>
            </a:graphic>
          </wp:inline>
        </w:drawing>
      </w:r>
    </w:p>
    <w:p>
      <w:pPr>
        <w:spacing w:after="200"/>
        <w:jc w:val="center"/>
      </w:pPr>
      <w:r>
        <w:rPr>
          <w:rFonts w:ascii="Microsoft YaHei" w:hAnsi="Microsoft YaHei" w:eastAsia="Microsoft YaHei"/>
          <w:color w:val="596C78"/>
          <w:sz w:val="18"/>
        </w:rPr>
        <w:t>图3：企业有多种可谈判的交易结构；分批试做和调整付款条件往往比“全接或全拒”更有操作性。</w:t>
      </w:r>
    </w:p>
    <w:p>
      <w:pPr>
        <w:pStyle w:val="Heading1"/>
        <w:keepNext/>
        <w:pageBreakBefore w:val="0"/>
        <w:spacing w:before="360" w:after="160"/>
      </w:pPr>
      <w:r>
        <w:rPr>
          <w:rFonts w:ascii="Microsoft YaHei" w:hAnsi="Microsoft YaHei" w:eastAsia="Microsoft YaHei"/>
          <w:sz w:val="32"/>
        </w:rPr>
        <w:t>云上订货应把授信、订单、签收和回款连成一条证据链</w:t>
      </w:r>
    </w:p>
    <w:p>
      <w:pPr>
        <w:pStyle w:val="BodyText"/>
        <w:spacing w:after="80" w:line="317" w:lineRule="auto"/>
        <w:ind w:firstLine="420"/>
      </w:pPr>
      <w:r>
        <w:rPr>
          <w:rFonts w:ascii="Microsoft YaHei" w:hAnsi="Microsoft YaHei" w:eastAsia="Microsoft YaHei"/>
          <w:sz w:val="21"/>
        </w:rPr>
        <w:t>先在客户资料中区分连锁总部、收货门店、签约与结算主体、业务员及约定的价格。客户在手机商城按授权货盘下单，或由业务员代客下单，都要回到原销售订单，并记录实际成交价和承诺交期。总部在PC管理端核客户订单汇总、商品需求和采购任务；供方现款付款时，财务将付款凭据与相应采购记录对应。仓库发货后，门店按实收数量签收，短送、拒收和退货留原单差异。月底对账按已确认的交易、退货折让和客户实际到账核欠款，不能把已发货但有争议的金额直接视为必然回款。</w:t>
      </w:r>
    </w:p>
    <w:p>
      <w:pPr>
        <w:pStyle w:val="BodyText"/>
        <w:spacing w:after="80" w:line="317" w:lineRule="auto"/>
        <w:ind w:firstLine="420"/>
      </w:pPr>
      <w:r>
        <w:rPr>
          <w:rFonts w:ascii="Microsoft YaHei" w:hAnsi="Microsoft YaHei" w:eastAsia="Microsoft YaHei"/>
          <w:sz w:val="21"/>
        </w:rPr>
        <w:t>实施时先用当前系统可提供的订单、采购、发货、收款和账龄数据做基础，再由财务补上现金日历与合同条款。企业若尚未配置自动冻结、超限审批或跨门店共享额度，不应在文章里说系统会自动替企业阻断全部风险；应由财务制定临时复核表和明确的接单责任人。现场执行有两个容易遗漏的点：订单总额可能超过授信余额，但因客户已付款尚未核销而显示错误的欠款；反之，线下临时承诺了一批货却未录单，也会让额度看起来还有空间。每日核对真实订单与真实收款，比单纯调整一个数值更重要。</w:t>
      </w:r>
    </w:p>
    <w:p>
      <w:pPr>
        <w:pStyle w:val="BodyText"/>
        <w:spacing w:after="80" w:line="317" w:lineRule="auto"/>
        <w:ind w:firstLine="420"/>
      </w:pPr>
      <w:r>
        <w:rPr>
          <w:rFonts w:ascii="Microsoft YaHei" w:hAnsi="Microsoft YaHei" w:eastAsia="Microsoft YaHei"/>
          <w:sz w:val="21"/>
        </w:rPr>
        <w:t>采购、销售、财务和仓配应看同一套例外：下周预计要送多少，已确定供方可交多少，客户尚欠多少，采购需在何时付款，出现退货后是补货还是退款。手机管理端帮助业务员跟踪客户订单与异常，PC管理端帮助总部看跨门店汇总、价格规则与财务结果。系统记录解决“在哪一笔业务上发生了什么”；是否批准垫资与签订账期合同，仍由企业授权人员负责。</w:t>
      </w:r>
    </w:p>
    <w:p>
      <w:pPr>
        <w:pStyle w:val="Heading1"/>
        <w:keepNext/>
        <w:pageBreakBefore w:val="0"/>
        <w:spacing w:before="360" w:after="160"/>
      </w:pPr>
      <w:r>
        <w:rPr>
          <w:rFonts w:ascii="Microsoft YaHei" w:hAnsi="Microsoft YaHei" w:eastAsia="Microsoft YaHei"/>
          <w:sz w:val="32"/>
        </w:rPr>
        <w:t>用三个闸门试运行，避免一开始放开全部门店</w:t>
      </w:r>
    </w:p>
    <w:p>
      <w:pPr>
        <w:pStyle w:val="BodyText"/>
        <w:spacing w:after="80" w:line="317" w:lineRule="auto"/>
        <w:ind w:firstLine="420"/>
      </w:pPr>
      <w:r>
        <w:rPr>
          <w:rFonts w:ascii="Microsoft YaHei" w:hAnsi="Microsoft YaHei" w:eastAsia="Microsoft YaHei"/>
          <w:sz w:val="21"/>
        </w:rPr>
        <w:t>签约前的闸门：确认客户法定结算主体、发票与付款条款、签收差异处理时间、合同价有效期和最大授信风险；财务核一个完整业务周期的峰值资金压力。首单闸门：选少数门店与可替代的常用品试做，核上游采购付款、门店实收、配送成本和客户对订单资料的接受度。第二批订单闸门：首单还没到账时，不凭“看起来合作顺利”继续无限供货，而是核已用额度、在途订单、财务现金和已发生签收争议。首次实际到账闸门：按合同付款日与真实到账日比较，算回款偏差，再决定扩店、扩品类还是修改条件。</w:t>
      </w:r>
    </w:p>
    <w:p>
      <w:pPr>
        <w:keepNext/>
        <w:jc w:val="center"/>
      </w:pPr>
      <w:r>
        <w:drawing>
          <wp:inline xmlns:a="http://schemas.openxmlformats.org/drawingml/2006/main" xmlns:pic="http://schemas.openxmlformats.org/drawingml/2006/picture">
            <wp:extent cx="4846320" cy="2726055"/>
            <wp:docPr id="4" name="Picture 4" descr="粮油现采月结客户从合同首单额度到首次实际回款的试运行闸门" title="粮油现采月结客户从合同首单额度到首次实际回款的试运行闸门"/>
            <wp:cNvGraphicFramePr>
              <a:graphicFrameLocks noChangeAspect="1"/>
            </wp:cNvGraphicFramePr>
            <a:graphic>
              <a:graphicData uri="http://schemas.openxmlformats.org/drawingml/2006/picture">
                <pic:pic>
                  <pic:nvPicPr>
                    <pic:cNvPr id="0" name="月结客户试运行闸门.png"/>
                    <pic:cNvPicPr/>
                  </pic:nvPicPr>
                  <pic:blipFill>
                    <a:blip r:embed="rId14"/>
                    <a:stretch>
                      <a:fillRect/>
                    </a:stretch>
                  </pic:blipFill>
                  <pic:spPr>
                    <a:xfrm>
                      <a:off x="0" y="0"/>
                      <a:ext cx="4846320" cy="2726055"/>
                    </a:xfrm>
                    <a:prstGeom prst="rect"/>
                  </pic:spPr>
                </pic:pic>
              </a:graphicData>
            </a:graphic>
          </wp:inline>
        </w:drawing>
      </w:r>
    </w:p>
    <w:p>
      <w:pPr>
        <w:spacing w:after="200"/>
        <w:jc w:val="center"/>
      </w:pPr>
      <w:r>
        <w:rPr>
          <w:rFonts w:ascii="Microsoft YaHei" w:hAnsi="Microsoft YaHei" w:eastAsia="Microsoft YaHei"/>
          <w:color w:val="596C78"/>
          <w:sz w:val="18"/>
        </w:rPr>
        <w:t>图4：每个阶段都要留下采购付款、客户签收和真实到账记录；未走完首期回款，不应宣称试运行成功。</w:t>
      </w:r>
    </w:p>
    <w:p>
      <w:pPr>
        <w:pStyle w:val="BodyText"/>
        <w:spacing w:after="80" w:line="317" w:lineRule="auto"/>
        <w:ind w:firstLine="420"/>
      </w:pPr>
      <w:r>
        <w:rPr>
          <w:rFonts w:ascii="Microsoft YaHei" w:hAnsi="Microsoft YaHei" w:eastAsia="Microsoft YaHei"/>
          <w:sz w:val="21"/>
        </w:rPr>
        <w:t>若首期对账被一处门店短送拖延，先核它影响的是该笔货款还是全部账期，按原订单留下差异和处理期限。若供方在试运行中改为现款且提高起订量，原资金测算失效，应暂停扩量重算。若客户按时付款但经常追加紧急配送，资金风险可能不大，利润风险却已改变，要再查实际服务费用。三种问题需要不同动作：对账争议补证据，付款条件变化重谈商业条款，配送频繁则改截单与路线。不能对所有异常只做一个“调高授信额度”的处理。</w:t>
      </w:r>
    </w:p>
    <w:p>
      <w:pPr>
        <w:pStyle w:val="Heading1"/>
        <w:keepNext/>
        <w:pageBreakBefore w:val="0"/>
        <w:spacing w:before="360" w:after="160"/>
      </w:pPr>
      <w:r>
        <w:rPr>
          <w:rFonts w:ascii="Microsoft YaHei" w:hAnsi="Microsoft YaHei" w:eastAsia="Microsoft YaHei"/>
          <w:sz w:val="32"/>
        </w:rPr>
        <w:t>接单判断是一项可复核的经营承诺，不是销售冲刺目标</w:t>
      </w:r>
    </w:p>
    <w:p>
      <w:pPr>
        <w:pStyle w:val="BodyText"/>
        <w:spacing w:after="80" w:line="317" w:lineRule="auto"/>
        <w:ind w:firstLine="420"/>
      </w:pPr>
      <w:r>
        <w:rPr>
          <w:rFonts w:ascii="Microsoft YaHei" w:hAnsi="Microsoft YaHei" w:eastAsia="Microsoft YaHei"/>
          <w:sz w:val="21"/>
        </w:rPr>
        <w:t>最终应由销售提出客户需求和承诺，采购确认供方付款与可交货量，仓配测履约能力，财务测峰值现金与授信，老板或授权人批准试单范围及停止条件。每周查看累计已发未结、未交订单、采购需付、实际回款、退货争议和可用现金；指标触及事先设定的边界时，先停止新增承诺、处理已接订单，不能擅自断供或改价。客户账期是经营资源，给谁、给多少、给多久，应和净贡献及真实回款相匹配。</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SC-000747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上游粮油供应商要求现款，下游餐饮大客户要月结，企业怎样决定这笔生意能不能接｜云上订货系统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