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连锁餐饮总部签约、门店分别下单，授信额度和欠款责任应该放在总部还是门店｜云上订货系统</w:t>
      </w:r>
    </w:p>
    <w:p>
      <w:pPr>
        <w:pStyle w:val="BodyText"/>
        <w:spacing w:after="80" w:line="317" w:lineRule="auto"/>
        <w:ind w:firstLine="420"/>
      </w:pPr>
      <w:r>
        <w:rPr>
          <w:rFonts w:ascii="Microsoft YaHei" w:hAnsi="Microsoft YaHei" w:eastAsia="Microsoft YaHei"/>
          <w:sz w:val="21"/>
        </w:rPr>
        <w:t>一家食材配送企业与连锁餐饮总部谈妥价格和月结，十家门店每天分别在商城下单，仓库照单送货。月底总部说某门店还没确认实收，要等所有门店对完才付款；门店却说“合同是总部签的，欠款找总部”。如果建档时只把十家门店当作十个普通客户，企业会遇到两类危险：给每店分别设三十万元授信，本想控制总部三十万元风险，却实际放大为三百万元；或者全部记在总部名下，事后找不到是哪家店短送、退货和未确认。解决办法不是选“总部”或“门店”其中之一，而是先分清合同、下单、收货和付款四种角色，再让授信与应收按真实责任主体汇总，让履约差异按门店保留。</w:t>
      </w:r>
    </w:p>
    <w:p>
      <w:pPr>
        <w:pStyle w:val="Heading1"/>
        <w:keepNext/>
        <w:pageBreakBefore w:val="0"/>
        <w:spacing w:before="360" w:after="160"/>
      </w:pPr>
      <w:r>
        <w:rPr>
          <w:rFonts w:ascii="Microsoft YaHei" w:hAnsi="Microsoft YaHei" w:eastAsia="Microsoft YaHei"/>
          <w:sz w:val="32"/>
        </w:rPr>
        <w:t>第一张图先画清四个角色，不能用品牌名代替责任主体</w:t>
      </w:r>
    </w:p>
    <w:p>
      <w:pPr>
        <w:pStyle w:val="BodyText"/>
        <w:spacing w:after="80" w:line="317" w:lineRule="auto"/>
        <w:ind w:firstLine="420"/>
      </w:pPr>
      <w:r>
        <w:rPr>
          <w:rFonts w:ascii="Microsoft YaHei" w:hAnsi="Microsoft YaHei" w:eastAsia="Microsoft YaHei"/>
          <w:sz w:val="21"/>
        </w:rPr>
        <w:t>合同上的买方是谁，谁有权选择商品并下单，谁在现场按实收签收，谁实际付款，未付款时谁承担责任，应在首单前逐项确认。直营连锁可能由总部统一签约与付款、门店只负责订货和收货；加盟连锁虽然挂同一品牌，各加盟商却可能各自签约、自付货款；还有一部分直营店走总部月结、加盟店单独结算的混合模式。客户档案里“属于同一集团”只能说明管理或品牌关系，不能自动证明总部为所有门店订单承担欠款。</w:t>
      </w:r>
    </w:p>
    <w:p>
      <w:pPr>
        <w:pStyle w:val="BodyText"/>
        <w:spacing w:after="80" w:line="317" w:lineRule="auto"/>
        <w:ind w:firstLine="420"/>
      </w:pPr>
      <w:r>
        <w:rPr>
          <w:rFonts w:ascii="Microsoft YaHei" w:hAnsi="Microsoft YaHei" w:eastAsia="Microsoft YaHei"/>
          <w:sz w:val="21"/>
        </w:rPr>
        <w:t>将门店地址、收货人、允许采购的商品范围、结算归属、发票信息和业务员负责人写清。若总部统一付款，门店需要知道可以按总部协议价下哪些商品、一次最大订多少、何时截单；财务需要知道这些订单最后归哪份合同和哪一个应收主体。若加盟店自己付款，就应有独立的结算资料和授信审批，不能因为同品牌便让总部额度覆盖其欠款。组织结构改变、门店转加盟或关店时，要用生效日期保存前后关系，不能把过去已交付订单的欠款主体随档案修改一并改掉。</w:t>
      </w:r>
    </w:p>
    <w:p>
      <w:pPr>
        <w:keepNext/>
        <w:jc w:val="center"/>
      </w:pPr>
      <w:r>
        <w:drawing>
          <wp:inline xmlns:a="http://schemas.openxmlformats.org/drawingml/2006/main" xmlns:pic="http://schemas.openxmlformats.org/drawingml/2006/picture">
            <wp:extent cx="5440680" cy="3060382"/>
            <wp:docPr id="1" name="Picture 1" descr="连锁总部签约门店下单收货配送企业履约与双方财务付款的关系结构" title="连锁总部签约门店下单收货配送企业履约与双方财务付款的关系结构"/>
            <wp:cNvGraphicFramePr>
              <a:graphicFrameLocks noChangeAspect="1"/>
            </wp:cNvGraphicFramePr>
            <a:graphic>
              <a:graphicData uri="http://schemas.openxmlformats.org/drawingml/2006/picture">
                <pic:pic>
                  <pic:nvPicPr>
                    <pic:cNvPr id="0" name="连锁交易四方关系.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图1：同一单至少涉及签约、下单、收货和付款四种角色；客户层级应服务真实交易关系，不能代替合同。</w:t>
      </w:r>
    </w:p>
    <w:p>
      <w:pPr>
        <w:pStyle w:val="Heading1"/>
        <w:keepNext/>
        <w:pageBreakBefore w:val="0"/>
        <w:spacing w:before="360" w:after="160"/>
      </w:pPr>
      <w:r>
        <w:rPr>
          <w:rFonts w:ascii="Microsoft YaHei" w:hAnsi="Microsoft YaHei" w:eastAsia="Microsoft YaHei"/>
          <w:sz w:val="32"/>
        </w:rPr>
        <w:t>授信先控制“谁最终付钱”，再给门店分配可用范围</w:t>
      </w:r>
    </w:p>
    <w:p>
      <w:pPr>
        <w:pStyle w:val="BodyText"/>
        <w:spacing w:after="80" w:line="317" w:lineRule="auto"/>
        <w:ind w:firstLine="420"/>
      </w:pPr>
      <w:r>
        <w:rPr>
          <w:rFonts w:ascii="Microsoft YaHei" w:hAnsi="Microsoft YaHei" w:eastAsia="Microsoft YaHei"/>
          <w:sz w:val="21"/>
        </w:rPr>
        <w:t>假设总部确为统一付款人，企业批准三十万元共享额度。A店已用十二万元、B店九万元、C店五万元，其他条件不变时剩余四万元。若系统里给每店单独设三十万元且没有总部合并复核，门店实际最多可能合计占用九十万元，远超审批时的三十万元。共享上限也不表示门店想把全部四万元一次买走就一定允许：可以另设门店日采购限制、异常品类复核和总仓可交量，防止某店超量影响其他店的正常供应。</w:t>
      </w:r>
    </w:p>
    <w:p>
      <w:pPr>
        <w:pStyle w:val="BodyText"/>
        <w:spacing w:after="80" w:line="317" w:lineRule="auto"/>
        <w:ind w:firstLine="420"/>
      </w:pPr>
      <w:r>
        <w:rPr>
          <w:rFonts w:ascii="Microsoft YaHei" w:hAnsi="Microsoft YaHei" w:eastAsia="Microsoft YaHei"/>
          <w:sz w:val="21"/>
        </w:rPr>
        <w:t>“已用额度”要有一致口径。有的企业仅把已发货未收款算进去，待审核或已接未发的订单被遗漏；有的企业又把已退款或已收款但尚未核销的金额算进去，导致可用额度过低。首单前应与财务约定：待发承诺是否占额、已签收未对账怎样占额、退货何时释放、实际到款何时恢复额度。若系统现有规则无法自动完成跨门店共享计算，企业应在PC管理端订单汇总和财务记录之外建立人工总额复核，不能向业务员宣称“页面显示没超限就一定能接”。</w:t>
      </w:r>
    </w:p>
    <w:p>
      <w:pPr>
        <w:keepNext/>
        <w:jc w:val="center"/>
      </w:pPr>
      <w:r>
        <w:drawing>
          <wp:inline xmlns:a="http://schemas.openxmlformats.org/drawingml/2006/main" xmlns:pic="http://schemas.openxmlformats.org/drawingml/2006/picture">
            <wp:extent cx="5440680" cy="3060382"/>
            <wp:docPr id="2" name="Picture 2" descr="总部三十万元共享授信下三家门店已用与剩余额度的算例及错误放大风险" title="总部三十万元共享授信下三家门店已用与剩余额度的算例及错误放大风险"/>
            <wp:cNvGraphicFramePr>
              <a:graphicFrameLocks noChangeAspect="1"/>
            </wp:cNvGraphicFramePr>
            <a:graphic>
              <a:graphicData uri="http://schemas.openxmlformats.org/drawingml/2006/picture">
                <pic:pic>
                  <pic:nvPicPr>
                    <pic:cNvPr id="0" name="总部共享额度示例.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图2：总部共享额度要合并所属门店的真实风险敞口；门店各设同额并相加，可能把原审批上限倍增。</w:t>
      </w:r>
    </w:p>
    <w:p>
      <w:pPr>
        <w:pStyle w:val="BodyText"/>
        <w:spacing w:after="80" w:line="317" w:lineRule="auto"/>
        <w:ind w:firstLine="420"/>
      </w:pPr>
      <w:r>
        <w:rPr>
          <w:rFonts w:ascii="Microsoft YaHei" w:hAnsi="Microsoft YaHei" w:eastAsia="Microsoft YaHei"/>
          <w:sz w:val="21"/>
        </w:rPr>
        <w:t>若门店独立承担付款责任，总部只负责采购框架或品牌推荐，则每家店的信用评估、额度和欠款追索要分别处理。不能把一店拖欠的款项直接冲减另一店在总部名下的货款，也不能擅自以总部“控制门店”为由假定其承担保证责任。此处谈的是业务数据与授信管理，具体合同债务和担保安排必须由企业依据已签文件确认；系统配置应反映真实关系，而非创造关系。</w:t>
      </w:r>
    </w:p>
    <w:p>
      <w:pPr>
        <w:pStyle w:val="Heading1"/>
        <w:keepNext/>
        <w:pageBreakBefore w:val="0"/>
        <w:spacing w:before="360" w:after="160"/>
      </w:pPr>
      <w:r>
        <w:rPr>
          <w:rFonts w:ascii="Microsoft YaHei" w:hAnsi="Microsoft YaHei" w:eastAsia="Microsoft YaHei"/>
          <w:sz w:val="32"/>
        </w:rPr>
        <w:t>门店订单逐笔留痕，总部对账按净额汇总</w:t>
      </w:r>
    </w:p>
    <w:p>
      <w:pPr>
        <w:pStyle w:val="BodyText"/>
        <w:spacing w:after="80" w:line="317" w:lineRule="auto"/>
        <w:ind w:firstLine="420"/>
      </w:pPr>
      <w:r>
        <w:rPr>
          <w:rFonts w:ascii="Microsoft YaHei" w:hAnsi="Microsoft YaHei" w:eastAsia="Microsoft YaHei"/>
          <w:sz w:val="21"/>
        </w:rPr>
        <w:t>门店用手机商城或其他授权入口下单时，订单要记下门店、商品规格、数量、实际成交价、预计到货日和所属结算主体。配送时按门店分别装箱、交接、签收；A店实收十箱油、B店实收八箱而有两箱短送，就不能把总部总数十八箱写成“两个门店都已签全”。每家店的差异要能回到原订单和发货记录，客户总部对账时才能知道一笔扣款是价格争议、少送、质量退货，还是尚未付款。</w:t>
      </w:r>
    </w:p>
    <w:p>
      <w:pPr>
        <w:pStyle w:val="BodyText"/>
        <w:spacing w:after="80" w:line="317" w:lineRule="auto"/>
        <w:ind w:firstLine="420"/>
      </w:pPr>
      <w:r>
        <w:rPr>
          <w:rFonts w:ascii="Microsoft YaHei" w:hAnsi="Microsoft YaHei" w:eastAsia="Microsoft YaHei"/>
          <w:sz w:val="21"/>
        </w:rPr>
        <w:t>财务按合同约定周期生成总部对账底稿，明细至少能按门店、订单、商品、发货、实收、退货和收款追溯。总部确认无争议货款，但其中一个门店仍在核退货时，可先区分无争议部分和待确认部分，按合同沟通支付安排。不能为“让金额对上”另开一张虚拟订单，把原订单短送和库存差额藏掉。若总部要求一张总发票或各店独立开票，开票和财务归属应与真实交易及企业财务要求一致，不应把“合并对账”误解为能随意改变发票抬头或债务主体。</w:t>
      </w:r>
    </w:p>
    <w:p>
      <w:pPr>
        <w:keepNext/>
        <w:jc w:val="center"/>
      </w:pPr>
      <w:r>
        <w:drawing>
          <wp:inline xmlns:a="http://schemas.openxmlformats.org/drawingml/2006/main" xmlns:pic="http://schemas.openxmlformats.org/drawingml/2006/picture">
            <wp:extent cx="5440680" cy="3060382"/>
            <wp:docPr id="3" name="Picture 3" descr="连锁总部签约门店分单签收总部汇总对账与实际付款的时序" title="连锁总部签约门店分单签收总部汇总对账与实际付款的时序"/>
            <wp:cNvGraphicFramePr>
              <a:graphicFrameLocks noChangeAspect="1"/>
            </wp:cNvGraphicFramePr>
            <a:graphic>
              <a:graphicData uri="http://schemas.openxmlformats.org/drawingml/2006/picture">
                <pic:pic>
                  <pic:nvPicPr>
                    <pic:cNvPr id="0" name="连锁门店对账时序.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图3：门店实收差异必须逐单可查，总部对账才有可以解释和追踪的净额。</w:t>
      </w:r>
    </w:p>
    <w:p>
      <w:pPr>
        <w:pStyle w:val="BodyText"/>
        <w:spacing w:after="80" w:line="317" w:lineRule="auto"/>
        <w:ind w:firstLine="420"/>
      </w:pPr>
      <w:r>
        <w:rPr>
          <w:rFonts w:ascii="Microsoft YaHei" w:hAnsi="Microsoft YaHei" w:eastAsia="Microsoft YaHei"/>
          <w:sz w:val="21"/>
        </w:rPr>
        <w:t>欠款责任并不因为门店先垫付款就自动改变。若直营门店偶尔现金补付，要记清它是替总部付款还是独立采购；总部统一付款后，门店内部的费用分摊不应反向改变经销商对总部的应收。相反，加盟门店自己与经销商签合同并自付，首页展示同一连锁品牌，也不能把其欠款挪到总部门店汇总里“统一催”。一笔款到账后，应按双方确认的订单或账期核销，无法对应时先标记待核，不要因为月末要出报表就随机冲减旧欠款。</w:t>
      </w:r>
    </w:p>
    <w:p>
      <w:pPr>
        <w:pStyle w:val="Heading1"/>
        <w:keepNext/>
        <w:pageBreakBefore w:val="0"/>
        <w:spacing w:before="360" w:after="160"/>
      </w:pPr>
      <w:r>
        <w:rPr>
          <w:rFonts w:ascii="Microsoft YaHei" w:hAnsi="Microsoft YaHei" w:eastAsia="Microsoft YaHei"/>
          <w:sz w:val="32"/>
        </w:rPr>
        <w:t>云上订货中的客户层级，要与价格、权限和单据流一起设置</w:t>
      </w:r>
    </w:p>
    <w:p>
      <w:pPr>
        <w:pStyle w:val="BodyText"/>
        <w:spacing w:after="80" w:line="317" w:lineRule="auto"/>
        <w:ind w:firstLine="420"/>
      </w:pPr>
      <w:r>
        <w:rPr>
          <w:rFonts w:ascii="Microsoft YaHei" w:hAnsi="Microsoft YaHei" w:eastAsia="Microsoft YaHei"/>
          <w:sz w:val="21"/>
        </w:rPr>
        <w:t>在PC管理端，先维护总部与各门店的客户资料和关联关系，分别确认合同价适用范围、结算主体、业务员归属、可售商品与配送地址。总部价格不一定适用于加盟门店，促销价也未必覆盖合同指定品；要用一笔样例订单验证不同门店最终看到的价格和计量单位。手机商城是门店下单优先入口，门店应只看到授权货盘、自己的订单及适用价格，不能因为隶属于同一总部就互看其他门店的交易详情。业务员代客下单时同样要选择实际收货门店，保留代客操作记录。</w:t>
      </w:r>
    </w:p>
    <w:p>
      <w:pPr>
        <w:pStyle w:val="BodyText"/>
        <w:spacing w:after="80" w:line="317" w:lineRule="auto"/>
        <w:ind w:firstLine="420"/>
      </w:pPr>
      <w:r>
        <w:rPr>
          <w:rFonts w:ascii="Microsoft YaHei" w:hAnsi="Microsoft YaHei" w:eastAsia="Microsoft YaHei"/>
          <w:sz w:val="21"/>
        </w:rPr>
        <w:t>订单进入审核、采购、仓库拣配、发货、签收和售后后，门店维度用于处理真实履约，总部维度用于管理协议与汇总对账。PC端适合财务核跨门店欠款、价格执行与授信总额，手机管理端适合业务员跟进自己负责门店的短送、退货与催收沟通。系统若已支持相关多级客户、授信或数据权限功能，应按当前租户实际版本配置并用样例订单验证；若某一跨店控制没有直接配置入口，就在审批与对账环节设置人工复核。文档不能把“可通过流程衔接”写成“系统自动完成所有合同责任判定”。</w:t>
      </w:r>
    </w:p>
    <w:p>
      <w:pPr>
        <w:pStyle w:val="BodyText"/>
        <w:spacing w:after="80" w:line="317" w:lineRule="auto"/>
        <w:ind w:firstLine="420"/>
      </w:pPr>
      <w:r>
        <w:rPr>
          <w:rFonts w:ascii="Microsoft YaHei" w:hAnsi="Microsoft YaHei" w:eastAsia="Microsoft YaHei"/>
          <w:sz w:val="21"/>
        </w:rPr>
        <w:t>合同变更也要测：某店从直营改为加盟时，新订单从生效日按新的结算主体和价格执行，旧订单仍保留原债务与发票记录；门店换收货地址，不能让此前发生的签收证据丢失。停止供货若由欠款触发，先核是总部总额超限还是单店违约，避免一处差异把其他已接订单无故取消。规则改变应在客户可见订单承诺前生效，不能借资料修改倒改原单。</w:t>
      </w:r>
    </w:p>
    <w:p>
      <w:pPr>
        <w:pStyle w:val="Heading1"/>
        <w:keepNext/>
        <w:pageBreakBefore w:val="0"/>
        <w:spacing w:before="360" w:after="160"/>
      </w:pPr>
      <w:r>
        <w:rPr>
          <w:rFonts w:ascii="Microsoft YaHei" w:hAnsi="Microsoft YaHei" w:eastAsia="Microsoft YaHei"/>
          <w:sz w:val="32"/>
        </w:rPr>
        <w:t>三种连锁结构，验收时分别选一笔正常单和一笔争议单</w:t>
      </w:r>
    </w:p>
    <w:p>
      <w:pPr>
        <w:pStyle w:val="BodyText"/>
        <w:spacing w:after="80" w:line="317" w:lineRule="auto"/>
        <w:ind w:firstLine="420"/>
      </w:pPr>
      <w:r>
        <w:rPr>
          <w:rFonts w:ascii="Microsoft YaHei" w:hAnsi="Microsoft YaHei" w:eastAsia="Microsoft YaHei"/>
          <w:sz w:val="21"/>
        </w:rPr>
        <w:t>总部统一结算模式，先选两家门店下正常单，核各店价格、可用货盘、发货签收，再看总部对账能否汇总且保留门店明细；异常单选择某店短送，验证总部应收净额和该店补送责任如何更新。门店分别结算模式，验证A店欠款不会误占B店额度，A店回款也不会被错误核销到总部。混合模式，至少放一笔直营门店和一笔加盟店订单，检查直营走总部合同，加盟按自身合同付款，品牌层面的经营汇总与财务应收两套口径互不混淆。</w:t>
      </w:r>
    </w:p>
    <w:p>
      <w:pPr>
        <w:keepNext/>
        <w:jc w:val="center"/>
      </w:pPr>
      <w:r>
        <w:drawing>
          <wp:inline xmlns:a="http://schemas.openxmlformats.org/drawingml/2006/main" xmlns:pic="http://schemas.openxmlformats.org/drawingml/2006/picture">
            <wp:extent cx="5440680" cy="3060382"/>
            <wp:docPr id="4" name="Picture 4" descr="连锁餐饮的总部统一结算门店分别结算和直营加盟混合三种客户结算结构" title="连锁餐饮的总部统一结算门店分别结算和直营加盟混合三种客户结算结构"/>
            <wp:cNvGraphicFramePr>
              <a:graphicFrameLocks noChangeAspect="1"/>
            </wp:cNvGraphicFramePr>
            <a:graphic>
              <a:graphicData uri="http://schemas.openxmlformats.org/drawingml/2006/picture">
                <pic:pic>
                  <pic:nvPicPr>
                    <pic:cNvPr id="0" name="三种连锁结算结构.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图4：先核合同与真实付款责任，再选择客户建档、价格适用和授信方式；不能只看品牌是否相同。</w:t>
      </w:r>
    </w:p>
    <w:p>
      <w:pPr>
        <w:pStyle w:val="BodyText"/>
        <w:spacing w:after="80" w:line="317" w:lineRule="auto"/>
        <w:ind w:firstLine="420"/>
      </w:pPr>
      <w:r>
        <w:rPr>
          <w:rFonts w:ascii="Microsoft YaHei" w:hAnsi="Microsoft YaHei" w:eastAsia="Microsoft YaHei"/>
          <w:sz w:val="21"/>
        </w:rPr>
        <w:t>完整试跑一个账期后，关注三项结果：已接订单的总风险敞口是否始终在批准范围内；月末对账差异能否逐店逐单解释；实际到账能否核销到正确的应收主体。若订单已经发出，客户还在争论该由总部还是门店付款，问题不在催收话术，而在首单前交易关系没有讲透。业务员、财务和客户各拿同一笔单据验证责任，比继续增加新的门店订单更重要。</w:t>
      </w:r>
    </w:p>
    <w:p>
      <w:pPr>
        <w:pStyle w:val="Heading1"/>
        <w:keepNext/>
        <w:pageBreakBefore w:val="0"/>
        <w:spacing w:before="360" w:after="160"/>
      </w:pPr>
      <w:r>
        <w:rPr>
          <w:rFonts w:ascii="Microsoft YaHei" w:hAnsi="Microsoft YaHei" w:eastAsia="Microsoft YaHei"/>
          <w:sz w:val="32"/>
        </w:rPr>
        <w:t>判断是否可以扩店：看总风险、单店履约和第一次真实回款</w:t>
      </w:r>
    </w:p>
    <w:p>
      <w:pPr>
        <w:pStyle w:val="BodyText"/>
        <w:spacing w:after="80" w:line="317" w:lineRule="auto"/>
        <w:ind w:firstLine="420"/>
      </w:pPr>
      <w:r>
        <w:rPr>
          <w:rFonts w:ascii="Microsoft YaHei" w:hAnsi="Microsoft YaHei" w:eastAsia="Microsoft YaHei"/>
          <w:sz w:val="21"/>
        </w:rPr>
        <w:t>区域扩张时，新门店加入既有连锁合同，企业不能只复制客户档案就放单。总部应确认该门店是否属于合同范围，价格与额度是否沿用，配送地址和交期能否兑现；财务复核当前全集团已用风险，仓配核新地址是否增加路线成本。加盟店新加入更应先核独立结算还是总部担保，不能因为“也是这个品牌”便自动给月结。首月保守开放常用品和可交范围，客户按实际使用复购、门店签收差异关闭、总部第一次按约到账后，再决定开放更多品类或更高额度。</w:t>
      </w:r>
    </w:p>
    <w:p>
      <w:pPr>
        <w:pStyle w:val="BodyText"/>
        <w:spacing w:after="80" w:line="317" w:lineRule="auto"/>
        <w:ind w:firstLine="420"/>
      </w:pPr>
      <w:r>
        <w:rPr>
          <w:rFonts w:ascii="Microsoft YaHei" w:hAnsi="Microsoft YaHei" w:eastAsia="Microsoft YaHei"/>
          <w:sz w:val="21"/>
        </w:rPr>
        <w:t>企业最终要得到两层清楚的账：上层能看到合同客户或连锁集团的合计交易、资金占用与价格贡献，下层能找到哪一家门店下了单、收到了多少、为何退货、哪笔款仍有争议。云上订货提供客户、商品价格、订单、采购发货、收款对账与权限管理的业务记录，合同主体和付款责任仍须由企业按实际协议确认。把授信放在真正承担欠款的层级，把履约差异留在真正收货的门店，才能既争取连锁订单规模，又不让门店数量悄悄放大信用风险。</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SC-000749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连锁餐饮总部签约、门店分别下单，授信额度和欠款责任应该放在总部还是门店｜云上订货系统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