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连锁门店订单集中但收货点分散，怎样选择中心仓统配、区域集货还是供应商直送｜云上订货系统</w:t>
      </w:r>
    </w:p>
    <w:p>
      <w:pPr>
        <w:pStyle w:val="BodyText"/>
        <w:spacing w:after="80" w:line="317" w:lineRule="auto"/>
        <w:ind w:firstLine="420"/>
      </w:pPr>
      <w:r>
        <w:rPr>
          <w:rFonts w:ascii="Microsoft YaHei" w:hAnsi="Microsoft YaHei" w:eastAsia="Microsoft YaHei"/>
          <w:sz w:val="21"/>
        </w:rPr>
        <w:t>连锁餐饮总部每周给食材经销商一份采购计划，看起来是一张大订单，实际要送到城东、城西和邻市的十几家门店。全部先入中心仓，采购价可能较低，却多一次卸货和跨城末端配送；让供应商逐店直送，仓库轻了，却可能多出运费、错货和售后争议；在外区设集货点，路线缩短，但验收与暂存责任增加。选择哪种模式，不应先问“哪个采购价最低”，而应把每个商品送到指定门店的总成本、准时率、签收差异和售后处理一起比较。一个连锁客户可以同时使用三种路径，统一的是订单和结算依据，分开的是真实货流。</w:t>
      </w:r>
    </w:p>
    <w:p>
      <w:pPr>
        <w:pStyle w:val="Heading1"/>
        <w:keepNext/>
        <w:pageBreakBefore w:val="0"/>
        <w:spacing w:before="360" w:after="160"/>
      </w:pPr>
      <w:r>
        <w:rPr>
          <w:rFonts w:ascii="Microsoft YaHei" w:hAnsi="Microsoft YaHei" w:eastAsia="Microsoft YaHei"/>
          <w:sz w:val="32"/>
        </w:rPr>
        <w:t>先按商品与门店地理分层，不要为整家连锁只定一条路</w:t>
      </w:r>
    </w:p>
    <w:p>
      <w:pPr>
        <w:pStyle w:val="BodyText"/>
        <w:spacing w:after="80" w:line="317" w:lineRule="auto"/>
        <w:ind w:firstLine="420"/>
      </w:pPr>
      <w:r>
        <w:rPr>
          <w:rFonts w:ascii="Microsoft YaHei" w:hAnsi="Microsoft YaHei" w:eastAsia="Microsoft YaHei"/>
          <w:sz w:val="21"/>
        </w:rPr>
        <w:t>中心仓统配适合高频、规格统一、多个门店都要的商品。米、油、常用调料进入总部仓，能集中验收、保一定库存，再按门店订单分拣和固定线路送货；但仓库若在城市一侧，远郊门店每次只要几箱，末端里程会吞掉集中采购带来的价差。区域集货适合远离中心仓却门店成片的地区：供应商或中心仓把货送到区域节点，节点验货、短时暂存，再按附近门店分拨。它减少多辆车重复跨城，但节点场地、人员、损耗与责任都要算清，不能把“集货”当作免费的中转。</w:t>
      </w:r>
    </w:p>
    <w:p>
      <w:pPr>
        <w:pStyle w:val="BodyText"/>
        <w:spacing w:after="80" w:line="317" w:lineRule="auto"/>
        <w:ind w:firstLine="420"/>
      </w:pPr>
      <w:r>
        <w:rPr>
          <w:rFonts w:ascii="Microsoft YaHei" w:hAnsi="Microsoft YaHei" w:eastAsia="Microsoft YaHei"/>
          <w:sz w:val="21"/>
        </w:rPr>
        <w:t>供应商直送适合大件、低频、规格特殊或供方本就在门店附近的商品。例如特殊厨房设备配件、只有某供方能供应的食材，客户确认规格和交期后让供方直接送门店，经销商可少占仓与搬运；但总部仍需知道供方承诺、发了什么、门店实收多少、短送错货由谁补。供方直送不是把销售关系和客户服务一起转交给供方。若供方只承诺发货、不承诺逐店准确签收，直送表面轻资产，实际会把客服、退款和品牌信誉风险留给经销商。</w:t>
      </w:r>
    </w:p>
    <w:p>
      <w:pPr>
        <w:keepNext/>
        <w:jc w:val="center"/>
      </w:pPr>
      <w:r>
        <w:drawing>
          <wp:inline xmlns:a="http://schemas.openxmlformats.org/drawingml/2006/main" xmlns:pic="http://schemas.openxmlformats.org/drawingml/2006/picture">
            <wp:extent cx="4846320" cy="2726055"/>
            <wp:docPr id="1" name="Picture 1" descr="连锁餐饮高频共用品的中心仓统配外区门店的区域集货与低频专用品的供应商直送路径" title="连锁餐饮高频共用品的中心仓统配外区门店的区域集货与低频专用品的供应商直送路径"/>
            <wp:cNvGraphicFramePr>
              <a:graphicFrameLocks noChangeAspect="1"/>
            </wp:cNvGraphicFramePr>
            <a:graphic>
              <a:graphicData uri="http://schemas.openxmlformats.org/drawingml/2006/picture">
                <pic:pic>
                  <pic:nvPicPr>
                    <pic:cNvPr id="0" name="三种门店供货路径.png"/>
                    <pic:cNvPicPr/>
                  </pic:nvPicPr>
                  <pic:blipFill>
                    <a:blip r:embed="rId11"/>
                    <a:stretch>
                      <a:fillRect/>
                    </a:stretch>
                  </pic:blipFill>
                  <pic:spPr>
                    <a:xfrm>
                      <a:off x="0" y="0"/>
                      <a:ext cx="4846320" cy="2726055"/>
                    </a:xfrm>
                    <a:prstGeom prst="rect"/>
                  </pic:spPr>
                </pic:pic>
              </a:graphicData>
            </a:graphic>
          </wp:inline>
        </w:drawing>
      </w:r>
    </w:p>
    <w:p>
      <w:pPr>
        <w:spacing w:after="200"/>
        <w:jc w:val="center"/>
      </w:pPr>
      <w:r>
        <w:rPr>
          <w:rFonts w:ascii="Microsoft YaHei" w:hAnsi="Microsoft YaHei" w:eastAsia="Microsoft YaHei"/>
          <w:color w:val="596C78"/>
          <w:sz w:val="18"/>
        </w:rPr>
        <w:t>图1：三条货流可按商品、区域和供方能力并用，不要求一家连锁或一张订单全部走同一路径。</w:t>
      </w:r>
    </w:p>
    <w:p>
      <w:pPr>
        <w:pStyle w:val="Heading1"/>
        <w:keepNext/>
        <w:pageBreakBefore w:val="0"/>
        <w:spacing w:before="360" w:after="160"/>
      </w:pPr>
      <w:r>
        <w:rPr>
          <w:rFonts w:ascii="Microsoft YaHei" w:hAnsi="Microsoft YaHei" w:eastAsia="Microsoft YaHei"/>
          <w:sz w:val="32"/>
        </w:rPr>
        <w:t>比的是送达总成本和承诺交期，不是供方出厂价</w:t>
      </w:r>
    </w:p>
    <w:p>
      <w:pPr>
        <w:pStyle w:val="BodyText"/>
        <w:spacing w:after="80" w:line="317" w:lineRule="auto"/>
        <w:ind w:firstLine="420"/>
      </w:pPr>
      <w:r>
        <w:rPr>
          <w:rFonts w:ascii="Microsoft YaHei" w:hAnsi="Microsoft YaHei" w:eastAsia="Microsoft YaHei"/>
          <w:sz w:val="21"/>
        </w:rPr>
        <w:t>设一个说明方法的虚拟周度：十二家门店分布在三个区域，每店要十箱标准品，共一百二十箱，采购货值十二万元。中心仓统配下，干线到仓、卸货、分拣和末端配送估算七千二百元；区域集货后，跨区集货、节点验货和短途配送估算五千八百元；供应商逐店直送若每店分收运费，总履约估算六千六百元。只看数字会选区域集货，但若集货点要在高温下暂存不适合的商品、夜间无人验货或某条路线无法赶上门店开门，就不能因少一千四百元选它。反过来，直送运费看似较高，若它能避免低频品入仓滞销，也可能在全周期更合适。</w:t>
      </w:r>
    </w:p>
    <w:p>
      <w:pPr>
        <w:pStyle w:val="BodyText"/>
        <w:spacing w:after="80" w:line="317" w:lineRule="auto"/>
        <w:ind w:firstLine="420"/>
      </w:pPr>
      <w:r>
        <w:rPr>
          <w:rFonts w:ascii="Microsoft YaHei" w:hAnsi="Microsoft YaHei" w:eastAsia="Microsoft YaHei"/>
          <w:sz w:val="21"/>
        </w:rPr>
        <w:t>不同报价要用同一口径。供方报“含配送到门店”时，是否含上楼、保温、拒收再送和退货运费？中心仓的自有司机工资、车辆折旧和拣货人力是否算进去了？区域集货点是否有验收、暂存、分拨与破损赔付？只比较供方单价或运费表，容易让被遗漏的成本替错误决策买单。企业初期可用真实订单加配送单、车辆记录与供方对账单试算，不需要等到所有成本字段自动化后才做判断，但估算必须标明来源。</w:t>
      </w:r>
    </w:p>
    <w:p>
      <w:pPr>
        <w:keepNext/>
        <w:jc w:val="center"/>
      </w:pPr>
      <w:r>
        <w:drawing>
          <wp:inline xmlns:a="http://schemas.openxmlformats.org/drawingml/2006/main" xmlns:pic="http://schemas.openxmlformats.org/drawingml/2006/picture">
            <wp:extent cx="4846320" cy="2726055"/>
            <wp:docPr id="2" name="Picture 2" descr="十二家门店分别采用中心仓区域集货和供应商直送的周度履约成本比较算例" title="十二家门店分别采用中心仓区域集货和供应商直送的周度履约成本比较算例"/>
            <wp:cNvGraphicFramePr>
              <a:graphicFrameLocks noChangeAspect="1"/>
            </wp:cNvGraphicFramePr>
            <a:graphic>
              <a:graphicData uri="http://schemas.openxmlformats.org/drawingml/2006/picture">
                <pic:pic>
                  <pic:nvPicPr>
                    <pic:cNvPr id="0" name="十二店配送模式试算.png"/>
                    <pic:cNvPicPr/>
                  </pic:nvPicPr>
                  <pic:blipFill>
                    <a:blip r:embed="rId12"/>
                    <a:stretch>
                      <a:fillRect/>
                    </a:stretch>
                  </pic:blipFill>
                  <pic:spPr>
                    <a:xfrm>
                      <a:off x="0" y="0"/>
                      <a:ext cx="4846320" cy="2726055"/>
                    </a:xfrm>
                    <a:prstGeom prst="rect"/>
                  </pic:spPr>
                </pic:pic>
              </a:graphicData>
            </a:graphic>
          </wp:inline>
        </w:drawing>
      </w:r>
    </w:p>
    <w:p>
      <w:pPr>
        <w:spacing w:after="200"/>
        <w:jc w:val="center"/>
      </w:pPr>
      <w:r>
        <w:rPr>
          <w:rFonts w:ascii="Microsoft YaHei" w:hAnsi="Microsoft YaHei" w:eastAsia="Microsoft YaHei"/>
          <w:color w:val="596C78"/>
          <w:sz w:val="18"/>
        </w:rPr>
        <w:t>图2：示例中区域集货的账面履约成本较低，仍须核节点验收、异常损失与门店约定交期。</w:t>
      </w:r>
    </w:p>
    <w:p>
      <w:pPr>
        <w:pStyle w:val="BodyText"/>
        <w:spacing w:after="80" w:line="317" w:lineRule="auto"/>
        <w:ind w:firstLine="420"/>
      </w:pPr>
      <w:r>
        <w:rPr>
          <w:rFonts w:ascii="Microsoft YaHei" w:hAnsi="Microsoft YaHei" w:eastAsia="Microsoft YaHei"/>
          <w:sz w:val="21"/>
        </w:rPr>
        <w:t>商品也要区分包装与保管要求。标准干货可以与其他门店商品同车集配，冷冻食材不能因为它们属于同一家连锁就放在常温节点等待半天；特殊规格若一处门店拒收，是否能转给其他门店取决于规格、效期与合同。混合分流的边界不是“供应商愿意送哪里”，而是客户承诺和安全可交条件。</w:t>
      </w:r>
    </w:p>
    <w:p>
      <w:pPr>
        <w:pStyle w:val="Heading1"/>
        <w:keepNext/>
        <w:pageBreakBefore w:val="0"/>
        <w:spacing w:before="360" w:after="160"/>
      </w:pPr>
      <w:r>
        <w:rPr>
          <w:rFonts w:ascii="Microsoft YaHei" w:hAnsi="Microsoft YaHei" w:eastAsia="Microsoft YaHei"/>
          <w:sz w:val="32"/>
        </w:rPr>
        <w:t>门店分散时，异常责任必须按实际货路拆开</w:t>
      </w:r>
    </w:p>
    <w:p>
      <w:pPr>
        <w:pStyle w:val="BodyText"/>
        <w:spacing w:after="80" w:line="317" w:lineRule="auto"/>
        <w:ind w:firstLine="420"/>
      </w:pPr>
      <w:r>
        <w:rPr>
          <w:rFonts w:ascii="Microsoft YaHei" w:hAnsi="Microsoft YaHei" w:eastAsia="Microsoft YaHei"/>
          <w:sz w:val="21"/>
        </w:rPr>
        <w:t>假设A店订的米走中心仓，实收少两箱；B店的专用调料由供方直送，却收到错误规格。总部对账时，两家店都提出扣款，经销商不能把“连锁总订单已发完”当成全部履约。A店沿仓库拣货、出库装车、司机交接和门店签收找原因；B店沿原采购任务、供方接单、发货商品和门店实收找原因。两条路径的责任方不同，解决方案也不同：仓库漏拣要补送并核内部损失，供方错发要采购追补并与门店确认退换期限。无论哪条路径，客户应收和供方应付都按原单实际结果调整。</w:t>
      </w:r>
    </w:p>
    <w:p>
      <w:pPr>
        <w:pStyle w:val="BodyText"/>
        <w:spacing w:after="80" w:line="317" w:lineRule="auto"/>
        <w:ind w:firstLine="420"/>
      </w:pPr>
      <w:r>
        <w:rPr>
          <w:rFonts w:ascii="Microsoft YaHei" w:hAnsi="Microsoft YaHei" w:eastAsia="Microsoft YaHei"/>
          <w:sz w:val="21"/>
        </w:rPr>
        <w:t>区域集货多了一个容易失明的环节。货到节点时先核供方交来的SKU、数量和状态，再交给末端配送；若节点没有验货，门店发现少货时，供方说已交齐、司机说按节点装车、节点又没记录，最后只能由经销商承担争议。因此集货点不必一开始设大型仓，但须有人负责到货复核、暂存条件、出库交接和异常反馈。若做不到，宁可少量试跑，先把责任记录建立起来。</w:t>
      </w:r>
    </w:p>
    <w:p>
      <w:pPr>
        <w:keepNext/>
        <w:jc w:val="center"/>
      </w:pPr>
      <w:r>
        <w:drawing>
          <wp:inline xmlns:a="http://schemas.openxmlformats.org/drawingml/2006/main" xmlns:pic="http://schemas.openxmlformats.org/drawingml/2006/picture">
            <wp:extent cx="4846320" cy="2726055"/>
            <wp:docPr id="3" name="Picture 3" descr="中心仓短送与供应商直送错货分别从订单发货签收到归因补发结算的异常回路" title="中心仓短送与供应商直送错货分别从订单发货签收到归因补发结算的异常回路"/>
            <wp:cNvGraphicFramePr>
              <a:graphicFrameLocks noChangeAspect="1"/>
            </wp:cNvGraphicFramePr>
            <a:graphic>
              <a:graphicData uri="http://schemas.openxmlformats.org/drawingml/2006/picture">
                <pic:pic>
                  <pic:nvPicPr>
                    <pic:cNvPr id="0" name="短送错货责任回路.png"/>
                    <pic:cNvPicPr/>
                  </pic:nvPicPr>
                  <pic:blipFill>
                    <a:blip r:embed="rId13"/>
                    <a:stretch>
                      <a:fillRect/>
                    </a:stretch>
                  </pic:blipFill>
                  <pic:spPr>
                    <a:xfrm>
                      <a:off x="0" y="0"/>
                      <a:ext cx="4846320" cy="2726055"/>
                    </a:xfrm>
                    <a:prstGeom prst="rect"/>
                  </pic:spPr>
                </pic:pic>
              </a:graphicData>
            </a:graphic>
          </wp:inline>
        </w:drawing>
      </w:r>
    </w:p>
    <w:p>
      <w:pPr>
        <w:spacing w:after="200"/>
        <w:jc w:val="center"/>
      </w:pPr>
      <w:r>
        <w:rPr>
          <w:rFonts w:ascii="Microsoft YaHei" w:hAnsi="Microsoft YaHei" w:eastAsia="Microsoft YaHei"/>
          <w:color w:val="596C78"/>
          <w:sz w:val="18"/>
        </w:rPr>
        <w:t>图3：多路径履约可以在总部统一对账，但每家门店实收与采购责任必须能沿原订单追溯。</w:t>
      </w:r>
    </w:p>
    <w:p>
      <w:pPr>
        <w:pStyle w:val="Heading1"/>
        <w:keepNext/>
        <w:pageBreakBefore w:val="0"/>
        <w:spacing w:before="360" w:after="160"/>
      </w:pPr>
      <w:r>
        <w:rPr>
          <w:rFonts w:ascii="Microsoft YaHei" w:hAnsi="Microsoft YaHei" w:eastAsia="Microsoft YaHei"/>
          <w:sz w:val="32"/>
        </w:rPr>
        <w:t>在云上订货中分货流，保持订单与财务归同一条链</w:t>
      </w:r>
    </w:p>
    <w:p>
      <w:pPr>
        <w:pStyle w:val="BodyText"/>
        <w:spacing w:after="80" w:line="317" w:lineRule="auto"/>
        <w:ind w:firstLine="420"/>
      </w:pPr>
      <w:r>
        <w:rPr>
          <w:rFonts w:ascii="Microsoft YaHei" w:hAnsi="Microsoft YaHei" w:eastAsia="Microsoft YaHei"/>
          <w:sz w:val="21"/>
        </w:rPr>
        <w:t>门店在手机商城按被授权商品和价格下单，管理端按门店、商品、数量和预计送达日期汇总。高频常备品核中心仓可用库存与已占用订单，形成拣配和配送任务；需区域集货的商品核节点与供方到货时间，不能在节点未确认时视为现货；适合直送的商品由采购与供方确认SKU、收货地址、预计交期与可退换条件。总部订单视图要能知道哪家门店、哪一项商品走什么路径，必要时同一客户订单分批履约，不要为了填一个“全部完成”而提前关闭待交部分。</w:t>
      </w:r>
    </w:p>
    <w:p>
      <w:pPr>
        <w:pStyle w:val="BodyText"/>
        <w:spacing w:after="80" w:line="317" w:lineRule="auto"/>
        <w:ind w:firstLine="420"/>
      </w:pPr>
      <w:r>
        <w:rPr>
          <w:rFonts w:ascii="Microsoft YaHei" w:hAnsi="Microsoft YaHei" w:eastAsia="Microsoft YaHei"/>
          <w:sz w:val="21"/>
        </w:rPr>
        <w:t>中心仓拣货、区域节点验收和供方直送发货分别记录，但门店签收仍要回到销售订单。财务按总部或各门店真实结算关系核销售应收，按供方采购及实际到货核应付；短送、退货与补发在原订单留下差异，避免供方直送没有入库记录就无法解释应付。PC管理端适合总部核采购汇总、仓库库存、分批出库与订单履约；手机管理端方便外勤和配送跟进门店签收；客户侧优先使用手机商城查看订单状态。具体的直送、分批与区域节点做法要依当前租户功能和实际流程验证，不能把“系统留痕”误写成“供方发货即自动完成客户签收”。</w:t>
      </w:r>
    </w:p>
    <w:p>
      <w:pPr>
        <w:pStyle w:val="BodyText"/>
        <w:spacing w:after="80" w:line="317" w:lineRule="auto"/>
        <w:ind w:firstLine="420"/>
      </w:pPr>
      <w:r>
        <w:rPr>
          <w:rFonts w:ascii="Microsoft YaHei" w:hAnsi="Microsoft YaHei" w:eastAsia="Microsoft YaHei"/>
          <w:sz w:val="21"/>
        </w:rPr>
        <w:t>更重要的是供货方式改变不能改变已承诺订单。客户约定周二早上送达，企业发现中心仓缺货后临时改供方直送，若供方只能周三到，就要联系门店确认新交期或替代品，而不是在后台悄悄换一条货流。客户在意的是实际到店商品和时间，不是内部仓储模式是否更省钱。</w:t>
      </w:r>
    </w:p>
    <w:p>
      <w:pPr>
        <w:pStyle w:val="Heading1"/>
        <w:keepNext/>
        <w:pageBreakBefore w:val="0"/>
        <w:spacing w:before="360" w:after="160"/>
      </w:pPr>
      <w:r>
        <w:rPr>
          <w:rFonts w:ascii="Microsoft YaHei" w:hAnsi="Microsoft YaHei" w:eastAsia="Microsoft YaHei"/>
          <w:sz w:val="32"/>
        </w:rPr>
        <w:t>用三个区域、三类SKU试跑，再做混合分单</w:t>
      </w:r>
    </w:p>
    <w:p>
      <w:pPr>
        <w:pStyle w:val="BodyText"/>
        <w:spacing w:after="80" w:line="317" w:lineRule="auto"/>
        <w:ind w:firstLine="420"/>
      </w:pPr>
      <w:r>
        <w:rPr>
          <w:rFonts w:ascii="Microsoft YaHei" w:hAnsi="Microsoft YaHei" w:eastAsia="Microsoft YaHei"/>
          <w:sz w:val="21"/>
        </w:rPr>
        <w:t>先选城区内高频共用品、外区成片门店常用品、一个低频特殊品各一组，分别试中心仓、区域集货和供方直送。每组至少一笔正常订单和一笔短送、错货或延期订单。对每条路径记录客户下单时间、采购付款、到仓或供方发货、门店实收、总履约费用、退换和实际到账。试点不要只挑最顺的门店：同一区域里收货时段受限、地址难找或常有临时加单的店，更能检验模式是否可复制。</w:t>
      </w:r>
    </w:p>
    <w:p>
      <w:pPr>
        <w:pStyle w:val="BodyText"/>
        <w:spacing w:after="80" w:line="317" w:lineRule="auto"/>
        <w:ind w:firstLine="420"/>
      </w:pPr>
      <w:r>
        <w:rPr>
          <w:rFonts w:ascii="Microsoft YaHei" w:hAnsi="Microsoft YaHei" w:eastAsia="Microsoft YaHei"/>
          <w:sz w:val="21"/>
        </w:rPr>
        <w:t>看结果时，既要比较每箱或每店交付费用，也要比较准时签收、异常关闭天数和客户实际复购。中心仓若成本高但签收稳定，可以从线路和分拣优化，而非立即全部改直送；区域集货若账面便宜却经常丢差异，先补验收职责；供方直送若响应快但售后难追，应限制可直送商品与供方，要求发货和实收凭据。某类SKU在某区域适合直送，不意味着全连锁、全品类都可以照搬。</w:t>
      </w:r>
    </w:p>
    <w:p>
      <w:pPr>
        <w:keepNext/>
        <w:jc w:val="center"/>
      </w:pPr>
      <w:r>
        <w:drawing>
          <wp:inline xmlns:a="http://schemas.openxmlformats.org/drawingml/2006/main" xmlns:pic="http://schemas.openxmlformats.org/drawingml/2006/picture">
            <wp:extent cx="4846320" cy="2726055"/>
            <wp:docPr id="4" name="Picture 4" descr="按SKU频次门店密度供方逐店交付能力选择中心仓区域集货直送或混合分单" title="按SKU频次门店密度供方逐店交付能力选择中心仓区域集货直送或混合分单"/>
            <wp:cNvGraphicFramePr>
              <a:graphicFrameLocks noChangeAspect="1"/>
            </wp:cNvGraphicFramePr>
            <a:graphic>
              <a:graphicData uri="http://schemas.openxmlformats.org/drawingml/2006/picture">
                <pic:pic>
                  <pic:nvPicPr>
                    <pic:cNvPr id="0" name="门店供货模式选择树.png"/>
                    <pic:cNvPicPr/>
                  </pic:nvPicPr>
                  <pic:blipFill>
                    <a:blip r:embed="rId14"/>
                    <a:stretch>
                      <a:fillRect/>
                    </a:stretch>
                  </pic:blipFill>
                  <pic:spPr>
                    <a:xfrm>
                      <a:off x="0" y="0"/>
                      <a:ext cx="4846320" cy="2726055"/>
                    </a:xfrm>
                    <a:prstGeom prst="rect"/>
                  </pic:spPr>
                </pic:pic>
              </a:graphicData>
            </a:graphic>
          </wp:inline>
        </w:drawing>
      </w:r>
    </w:p>
    <w:p>
      <w:pPr>
        <w:spacing w:after="200"/>
        <w:jc w:val="center"/>
      </w:pPr>
      <w:r>
        <w:rPr>
          <w:rFonts w:ascii="Microsoft YaHei" w:hAnsi="Microsoft YaHei" w:eastAsia="Microsoft YaHei"/>
          <w:color w:val="596C78"/>
          <w:sz w:val="18"/>
        </w:rPr>
        <w:t>图4：选择应从商品与区域实际条件出发，试跑正常和异常订单后再扩大，不是只看一种最低报价。</w:t>
      </w:r>
    </w:p>
    <w:p>
      <w:pPr>
        <w:pStyle w:val="Heading1"/>
        <w:keepNext/>
        <w:pageBreakBefore w:val="0"/>
        <w:spacing w:before="360" w:after="160"/>
      </w:pPr>
      <w:r>
        <w:rPr>
          <w:rFonts w:ascii="Microsoft YaHei" w:hAnsi="Microsoft YaHei" w:eastAsia="Microsoft YaHei"/>
          <w:sz w:val="32"/>
        </w:rPr>
        <w:t>最终的好方案，是门店按时收到货、企业能解释每一笔成本</w:t>
      </w:r>
    </w:p>
    <w:p>
      <w:pPr>
        <w:pStyle w:val="BodyText"/>
        <w:spacing w:after="80" w:line="317" w:lineRule="auto"/>
        <w:ind w:firstLine="420"/>
      </w:pPr>
      <w:r>
        <w:rPr>
          <w:rFonts w:ascii="Microsoft YaHei" w:hAnsi="Microsoft YaHei" w:eastAsia="Microsoft YaHei"/>
          <w:sz w:val="21"/>
        </w:rPr>
        <w:t>多收货点连锁客户考验的不仅是采购能力，更是跨供方、跨节点和跨门店的一致承诺。企业可每月按商品与区域复盘：哪些高频SKU入中心仓能稳定降成本，哪些外区门店足以支撑区域集货，哪些特殊商品适合供方直送；同时看商品毛利扣履约后的客户贡献、采购付款到客户回款的资金占用、短送错货和退货的责任关闭。让采购价、物流费、仓库作业、客服售后和账期使用同一组订单与门店事实，不靠“整月连锁客户总体还赚钱”遮住亏损路线。</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SC-000751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连锁门店订单集中但收货点分散，怎样选择中心仓统配、区域集货还是供应商直送｜云上订货系统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