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连锁餐饮要求准时率、缺货率和补送时效，怎样判断低价合同是否值得长期承接｜云上订货系统</w:t>
      </w:r>
    </w:p>
    <w:p>
      <w:pPr>
        <w:pStyle w:val="BodyText"/>
        <w:spacing w:after="80" w:line="317" w:lineRule="auto"/>
        <w:ind w:firstLine="420"/>
      </w:pPr>
      <w:r>
        <w:rPr>
          <w:rFonts w:ascii="Microsoft YaHei" w:hAnsi="Microsoft YaHei" w:eastAsia="Microsoft YaHei"/>
          <w:sz w:val="21"/>
        </w:rPr>
        <w:t>一家食材配送商拿下十二家门店的连锁餐饮客户，合同价比普通门店低，销售却很快翻倍。三个月后，仓库每天为门店开餐前的时段赶车，缺货要临时去市场补，少送两箱还得再跑一趟；采购先付款，总部月末再统一对账。老板看到的是大客户带来的销售额，财务看到的却是运费、报损和应收持续增加。低价合同值不值得接，关键不是“毛利率有没有三五个点”，而是约定的服务能否连续兑现，以及在全部服务和资金成本之后还留下多少可用贡献。</w:t>
      </w:r>
    </w:p>
    <w:p>
      <w:pPr>
        <w:pStyle w:val="Heading1"/>
        <w:keepNext/>
        <w:pageBreakBefore w:val="0"/>
        <w:spacing w:before="360" w:after="160"/>
      </w:pPr>
      <w:r>
        <w:rPr>
          <w:rFonts w:ascii="Microsoft YaHei" w:hAnsi="Microsoft YaHei" w:eastAsia="Microsoft YaHei"/>
          <w:sz w:val="32"/>
        </w:rPr>
        <w:t>签价格前，先定义客户究竟买了哪些服务</w:t>
      </w:r>
    </w:p>
    <w:p>
      <w:pPr>
        <w:pStyle w:val="BodyText"/>
        <w:spacing w:after="80" w:line="317" w:lineRule="auto"/>
        <w:ind w:firstLine="420"/>
      </w:pPr>
      <w:r>
        <w:rPr>
          <w:rFonts w:ascii="Microsoft YaHei" w:hAnsi="Microsoft YaHei" w:eastAsia="Microsoft YaHei"/>
          <w:sz w:val="21"/>
        </w:rPr>
        <w:t>连锁餐饮购买的不只是米面油和调味料，还购买每一家门店按时开餐的确定性。合同写“准时率不低于百分之九十八”，要明确按订单、按门店、按商品行还是按实际箱数计算；上午九点前送达，是九点司机到门口，还是九点完成卸货和签收？没有定义，客户说晚送，经销商说车已到场，双方的数字都可能自认为正确。缺货率同样如此：客户下单时库存不足、承诺后供方断货、门店拒收替代规格，是三种不同原因，不能都放进同一个“缺货”数字。</w:t>
      </w:r>
    </w:p>
    <w:p>
      <w:pPr>
        <w:pStyle w:val="BodyText"/>
        <w:spacing w:after="80" w:line="317" w:lineRule="auto"/>
        <w:ind w:firstLine="420"/>
      </w:pPr>
      <w:r>
        <w:rPr>
          <w:rFonts w:ascii="Microsoft YaHei" w:hAnsi="Microsoft YaHei" w:eastAsia="Microsoft YaHei"/>
          <w:sz w:val="21"/>
        </w:rPr>
        <w:t>补送时效要写到触发点和结束点。门店早上签收发现少两箱，合同要求“四小时补齐”，究竟从门店报差异开始计时，还是客服确认后计时？补送到门口是否算完成，还是以门店确认实收为准？如果门店营业时段不允许收货，又由谁提出新时段？这些定义会改变需要配置的备用库存、值班人员和车辆成本。谈判时把送达窗口、最小起订量、替代品许可、临时加单、拒收与退货责任逐项列出，比只压采购价更能保护双方的长期合作。</w:t>
      </w:r>
    </w:p>
    <w:p>
      <w:pPr>
        <w:keepNext/>
        <w:jc w:val="center"/>
      </w:pPr>
      <w:r>
        <w:drawing>
          <wp:inline xmlns:a="http://schemas.openxmlformats.org/drawingml/2006/main" xmlns:pic="http://schemas.openxmlformats.org/drawingml/2006/picture">
            <wp:extent cx="5440680" cy="3060382"/>
            <wp:docPr id="1" name="Picture 1" descr="连锁餐饮低价合同签订前需要核对的价格货盘到店服务与结算责任" title="连锁餐饮低价合同签订前需要核对的价格货盘到店服务与结算责任"/>
            <wp:cNvGraphicFramePr>
              <a:graphicFrameLocks noChangeAspect="1"/>
            </wp:cNvGraphicFramePr>
            <a:graphic>
              <a:graphicData uri="http://schemas.openxmlformats.org/drawingml/2006/picture">
                <pic:pic>
                  <pic:nvPicPr>
                    <pic:cNvPr id="0" name="低价合同承诺清单.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图1：把价格、到店时段、缺货补送、签收主体和账期写成可核的合同口径，后续订单才能按相同定义计算。</w:t>
      </w:r>
    </w:p>
    <w:p>
      <w:pPr>
        <w:pStyle w:val="BodyText"/>
        <w:spacing w:after="80" w:line="317" w:lineRule="auto"/>
        <w:ind w:firstLine="420"/>
      </w:pPr>
      <w:r>
        <w:rPr>
          <w:rFonts w:ascii="Microsoft YaHei" w:hAnsi="Microsoft YaHei" w:eastAsia="Microsoft YaHei"/>
          <w:sz w:val="21"/>
        </w:rPr>
        <w:t>总部谈合同，门店执行的差异也要提前处理。总部采购批准一箱起订，个别门店却每天只要两瓶酱料；总部允许次日达，门店店长临时在群里要求两小时送到。销售不能把这些额外服务都算进原价，运营也不能一律拒绝。企业应约定谁能发起加急需求、由谁批准、是否另外计费及是否纳入准时率统计。若总部签合同而各店验货，签收差异需留门店依据，并汇总到总部对账。签收主体、付款主体和提出异议的人未必相同。</w:t>
      </w:r>
    </w:p>
    <w:p>
      <w:pPr>
        <w:pStyle w:val="Heading1"/>
        <w:keepNext/>
        <w:pageBreakBefore w:val="0"/>
        <w:spacing w:before="360" w:after="160"/>
      </w:pPr>
      <w:r>
        <w:rPr>
          <w:rFonts w:ascii="Microsoft YaHei" w:hAnsi="Microsoft YaHei" w:eastAsia="Microsoft YaHei"/>
          <w:sz w:val="32"/>
        </w:rPr>
        <w:t>一百万销售额的合同，先算服务后的三万元</w:t>
      </w:r>
    </w:p>
    <w:p>
      <w:pPr>
        <w:pStyle w:val="BodyText"/>
        <w:spacing w:after="80" w:line="317" w:lineRule="auto"/>
        <w:ind w:firstLine="420"/>
      </w:pPr>
      <w:r>
        <w:rPr>
          <w:rFonts w:ascii="Microsoft YaHei" w:hAnsi="Microsoft YaHei" w:eastAsia="Microsoft YaHei"/>
          <w:sz w:val="21"/>
        </w:rPr>
        <w:t>用一个虚拟月度说明核算方法：十二家门店合计销售一百万元，采购成本九十万元，商品毛利十万元。常规干线、仓库分拣和门店配送四万元；因缺货和少送产生临时车辆与二次拣货一点二万元；退换、错货和破损损耗零点八万元；采购先付、客户后付形成的资金占用与相关成本估算一万元。剩余贡献是三万元，尚未分摊总部管理费用。这组数不是行业平均，也不是系统自动得出的答案，而是提醒经营者把实际订单、配送任务、退货单和应收回款放在同一个周期对照。</w:t>
      </w:r>
    </w:p>
    <w:p>
      <w:pPr>
        <w:keepNext/>
        <w:jc w:val="center"/>
      </w:pPr>
      <w:r>
        <w:drawing>
          <wp:inline xmlns:a="http://schemas.openxmlformats.org/drawingml/2006/main" xmlns:pic="http://schemas.openxmlformats.org/drawingml/2006/picture">
            <wp:extent cx="5440680" cy="3060382"/>
            <wp:docPr id="2" name="Picture 2" descr="十二家餐饮门店月销售一百万元扣采购履约补送退换和资金成本后的贡献试算" title="十二家餐饮门店月销售一百万元扣采购履约补送退换和资金成本后的贡献试算"/>
            <wp:cNvGraphicFramePr>
              <a:graphicFrameLocks noChangeAspect="1"/>
            </wp:cNvGraphicFramePr>
            <a:graphic>
              <a:graphicData uri="http://schemas.openxmlformats.org/drawingml/2006/picture">
                <pic:pic>
                  <pic:nvPicPr>
                    <pic:cNvPr id="0" name="低价合同净贡献试算.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图2：虚拟算例剩余三万元。若报价再降两个百分点而服务条件不变，贡献只剩约一万元，企业应重谈价格或服务边界。</w:t>
      </w:r>
    </w:p>
    <w:p>
      <w:pPr>
        <w:pStyle w:val="BodyText"/>
        <w:spacing w:after="80" w:line="317" w:lineRule="auto"/>
        <w:ind w:firstLine="420"/>
      </w:pPr>
      <w:r>
        <w:rPr>
          <w:rFonts w:ascii="Microsoft YaHei" w:hAnsi="Microsoft YaHei" w:eastAsia="Microsoft YaHei"/>
          <w:sz w:val="21"/>
        </w:rPr>
        <w:t>计算时要防止重复或漏项。常规车辆和仓库工资按线路及订单分摊；补送另记临时加车和再次分拣，不能把同一趟车算两次。退货商品若能二次销售，按实际损失计；客户扣款若已体现在收入里，不应再把同一金额列一笔损耗。资金占用要以采购付款与客户实际到账日期计算，不能只用合同约定的“月结三十天”。如果一家门店逾期六十天，按统一平均账期摊给其他门店，会低估问题门店的成本。</w:t>
      </w:r>
    </w:p>
    <w:p>
      <w:pPr>
        <w:pStyle w:val="BodyText"/>
        <w:spacing w:after="80" w:line="317" w:lineRule="auto"/>
        <w:ind w:firstLine="420"/>
      </w:pPr>
      <w:r>
        <w:rPr>
          <w:rFonts w:ascii="Microsoft YaHei" w:hAnsi="Microsoft YaHei" w:eastAsia="Microsoft YaHei"/>
          <w:sz w:val="21"/>
        </w:rPr>
        <w:t>比较低价合同还要看替代机会。相同车辆和仓库产能若供应普通门店，可获得怎样的净贡献？连锁客户订单稳定，可能降低采购波动并帮助排线路，这些好处也要由实际数据证明；反过来，每天专车凌晨送达，占住了最稀缺的车辆时段，不能只用全天平均运费解释。企业不必为每一单建立复杂财务模型，先挑连续四周真实数据，按门店、线路、商品与异常原因拆出大头成本，就足以发现合同谈判应改变什么。</w:t>
      </w:r>
    </w:p>
    <w:p>
      <w:pPr>
        <w:pStyle w:val="Heading1"/>
        <w:keepNext/>
        <w:pageBreakBefore w:val="0"/>
        <w:spacing w:before="360" w:after="160"/>
      </w:pPr>
      <w:r>
        <w:rPr>
          <w:rFonts w:ascii="Microsoft YaHei" w:hAnsi="Microsoft YaHei" w:eastAsia="Microsoft YaHei"/>
          <w:sz w:val="32"/>
        </w:rPr>
        <w:t>准时、缺货和补送要沿同一订单留下证据</w:t>
      </w:r>
    </w:p>
    <w:p>
      <w:pPr>
        <w:pStyle w:val="BodyText"/>
        <w:spacing w:after="80" w:line="317" w:lineRule="auto"/>
        <w:ind w:firstLine="420"/>
      </w:pPr>
      <w:r>
        <w:rPr>
          <w:rFonts w:ascii="Microsoft YaHei" w:hAnsi="Microsoft YaHei" w:eastAsia="Microsoft YaHei"/>
          <w:sz w:val="21"/>
        </w:rPr>
        <w:t>门店通过手机商城下单时，商品、规格、数量、收货地址和期望时段尽量一次确认；客服代客下单也应核对同样信息，避免微信群中的“照昨天送”变成无法核验的承诺。PC管理端适合总部汇总订单、库存、采购与履约状态；手机管理端可让外勤或配送岗位跟进现场差异。具体的配送时效、异常和报表口径要按企业所开通功能及实际流程配置，不能把“订单已提交”当作“库存已锁定”，也不能把“司机已发车”当作“门店已签收”。</w:t>
      </w:r>
    </w:p>
    <w:p>
      <w:pPr>
        <w:pStyle w:val="BodyText"/>
        <w:spacing w:after="80" w:line="317" w:lineRule="auto"/>
        <w:ind w:firstLine="420"/>
      </w:pPr>
      <w:r>
        <w:rPr>
          <w:rFonts w:ascii="Microsoft YaHei" w:hAnsi="Microsoft YaHei" w:eastAsia="Microsoft YaHei"/>
          <w:sz w:val="21"/>
        </w:rPr>
        <w:t>以一笔二十箱的订单看证据链：A店约定周二上午九点前收到，仓库出库二十箱，门店只签收十八箱。原订单的订购数、出库数、实收数都要保留，不能把出库数改成十八来抹平差异。客服确认短送两箱后，查是仓库漏装、运输途中丢失，还是客户验货争议，明确补送负责人和时间。若约定当天下午补齐，二次配送与门店再签收是异常关闭的条件；若做不到，应及时向门店确认新的时间或替代方案。补送造成的车辆费用与损失归到这笔订单，合同复盘才知道低价背后谁在付费。</w:t>
      </w:r>
    </w:p>
    <w:p>
      <w:pPr>
        <w:keepNext/>
        <w:jc w:val="center"/>
      </w:pPr>
      <w:r>
        <w:drawing>
          <wp:inline xmlns:a="http://schemas.openxmlformats.org/drawingml/2006/main" xmlns:pic="http://schemas.openxmlformats.org/drawingml/2006/picture">
            <wp:extent cx="5440680" cy="3060382"/>
            <wp:docPr id="3" name="Picture 3" descr="连锁餐饮门店短送从下单首次交付异常响应到补送签收和结算调整的责任时序" title="连锁餐饮门店短送从下单首次交付异常响应到补送签收和结算调整的责任时序"/>
            <wp:cNvGraphicFramePr>
              <a:graphicFrameLocks noChangeAspect="1"/>
            </wp:cNvGraphicFramePr>
            <a:graphic>
              <a:graphicData uri="http://schemas.openxmlformats.org/drawingml/2006/picture">
                <pic:pic>
                  <pic:nvPicPr>
                    <pic:cNvPr id="0" name="缺货补送责任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图3：系统状态要保留原发数和实收差异；补送是否及时，以客户确认的最终结果判断。</w:t>
      </w:r>
    </w:p>
    <w:p>
      <w:pPr>
        <w:pStyle w:val="BodyText"/>
        <w:spacing w:after="80" w:line="317" w:lineRule="auto"/>
        <w:ind w:firstLine="420"/>
      </w:pPr>
      <w:r>
        <w:rPr>
          <w:rFonts w:ascii="Microsoft YaHei" w:hAnsi="Microsoft YaHei" w:eastAsia="Microsoft YaHei"/>
          <w:sz w:val="21"/>
        </w:rPr>
        <w:t>准时率统计也要保留例外原因，而不是删掉失败单。客户晚下单、临时改地址、门店无人收货、暴雨阻断路线、经销商备货不足，责任不同，仍要记录原始发生时间和双方确认的改期。缺货可以分成接单时就无法承诺、承诺后采购未到、拣货前发现仓库数量不符三类，分别对应销售报价、采购协同与库存准确性。只看最终“已完成”状态，会把过程中的服务成本和失约藏起来；只看系统的红色预警，也无法判断谁应承担合同责任。</w:t>
      </w:r>
    </w:p>
    <w:p>
      <w:pPr>
        <w:pStyle w:val="Heading1"/>
        <w:keepNext/>
        <w:pageBreakBefore w:val="0"/>
        <w:spacing w:before="360" w:after="160"/>
      </w:pPr>
      <w:r>
        <w:rPr>
          <w:rFonts w:ascii="Microsoft YaHei" w:hAnsi="Microsoft YaHei" w:eastAsia="Microsoft YaHei"/>
          <w:sz w:val="32"/>
        </w:rPr>
        <w:t>续约前抽取一个完整周期，拆到门店和路线</w:t>
      </w:r>
    </w:p>
    <w:p>
      <w:pPr>
        <w:pStyle w:val="BodyText"/>
        <w:spacing w:after="80" w:line="317" w:lineRule="auto"/>
        <w:ind w:firstLine="420"/>
      </w:pPr>
      <w:r>
        <w:rPr>
          <w:rFonts w:ascii="Microsoft YaHei" w:hAnsi="Microsoft YaHei" w:eastAsia="Microsoft YaHei"/>
          <w:sz w:val="21"/>
        </w:rPr>
        <w:t>至少观察连续四周，覆盖工作日、周末和节假日前后的订货波峰。每个门店记录订单量、准时签收、短送次数、补送完成时长、退货和扣款、实际毛利、配送工时及回款日期。把门店按区域归到配送路线，再看一条路线是否因为一家特殊门店增加全线等待；把商品按常备和长尾归类，再看缺货主要由库存策略还是供方交期引起。总部客户整体赚钱，不代表每家门店和每条线路都赚钱，尤其是远郊小单、高频临时加单和复杂签收门店。</w:t>
      </w:r>
    </w:p>
    <w:p>
      <w:pPr>
        <w:pStyle w:val="BodyText"/>
        <w:spacing w:after="80" w:line="317" w:lineRule="auto"/>
        <w:ind w:firstLine="420"/>
      </w:pPr>
      <w:r>
        <w:rPr>
          <w:rFonts w:ascii="Microsoft YaHei" w:hAnsi="Microsoft YaHei" w:eastAsia="Microsoft YaHei"/>
          <w:sz w:val="21"/>
        </w:rPr>
        <w:t>试跑应有正常单和异常单。正常单验证客户下单、采购与拣货、发货、门店签收和总部对账能连续走完；异常单至少覆盖短送后补送、供方延期及门店拒收三类。销售负责与总部及门店重新确认承诺，采购负责供方交期和替代货，仓配负责发货与实收差异，客服负责通知与关闭，财务核扣款、应收和资金占用。每笔异常留下原单、时间、数量、处理人和客户确认结果，不能用一张新订单冒充原单已履行。</w:t>
      </w:r>
    </w:p>
    <w:p>
      <w:pPr>
        <w:pStyle w:val="BodyText"/>
        <w:spacing w:after="80" w:line="317" w:lineRule="auto"/>
        <w:ind w:firstLine="420"/>
      </w:pPr>
      <w:r>
        <w:rPr>
          <w:rFonts w:ascii="Microsoft YaHei" w:hAnsi="Microsoft YaHei" w:eastAsia="Microsoft YaHei"/>
          <w:sz w:val="21"/>
        </w:rPr>
        <w:t>核指标要防止好看的平均数误导决策。准时率按门店订单计算时，一次订单有十项、其中一项迟送，是整单不准时还是该商品行不准时？两个口径都能用，但谈合同前必须选定且连续沿用。补送时长用异常发现至客户实收，不能用后台创建补送单的时间。商品毛利与服务贡献应分别展示：前者用于采购和售价讨论，后者用于是否保留低价服务组合。回款用实际到账，不因“财务已开票”而提前算作现金。</w:t>
      </w:r>
    </w:p>
    <w:p>
      <w:pPr>
        <w:pStyle w:val="Heading1"/>
        <w:keepNext/>
        <w:pageBreakBefore w:val="0"/>
        <w:spacing w:before="360" w:after="160"/>
      </w:pPr>
      <w:r>
        <w:rPr>
          <w:rFonts w:ascii="Microsoft YaHei" w:hAnsi="Microsoft YaHei" w:eastAsia="Microsoft YaHei"/>
          <w:sz w:val="32"/>
        </w:rPr>
        <w:t>用四种结果决定维持、重谈、收窄或暂停</w:t>
      </w:r>
    </w:p>
    <w:p>
      <w:pPr>
        <w:pStyle w:val="BodyText"/>
        <w:spacing w:after="80" w:line="317" w:lineRule="auto"/>
        <w:ind w:firstLine="420"/>
      </w:pPr>
      <w:r>
        <w:rPr>
          <w:rFonts w:ascii="Microsoft YaHei" w:hAnsi="Microsoft YaHei" w:eastAsia="Microsoft YaHei"/>
          <w:sz w:val="21"/>
        </w:rPr>
        <w:t>若准时和补送持续达标、服务后贡献达到企业目标，合同可以维持，并把可复制的门店、商品与线路固化。若服务稳定但贡献太薄，应带真实成本清单与客户重谈：提高部分SKU报价，约定最小起订量，限定免费补送次数，或把急单和特殊时段独立报价。客户未必接受全面涨价，却可能接受“普通订单维持原价、两小时加急另计费”的透明选择。只涨总价而不改变造成亏损的服务结构，谈判很容易再次失败。</w:t>
      </w:r>
    </w:p>
    <w:p>
      <w:pPr>
        <w:pStyle w:val="BodyText"/>
        <w:spacing w:after="80" w:line="317" w:lineRule="auto"/>
        <w:ind w:firstLine="420"/>
      </w:pPr>
      <w:r>
        <w:rPr>
          <w:rFonts w:ascii="Microsoft YaHei" w:hAnsi="Microsoft YaHei" w:eastAsia="Microsoft YaHei"/>
          <w:sz w:val="21"/>
        </w:rPr>
        <w:t>若整体贡献尚可，但少数远区门店或长尾SKU频繁异常，可收窄免费服务范围：调整路线频次、规定订货截单时间、为远区门店设置到货日，或先确认供方再向客户承诺特殊品。若服务和现金都失控，逾期款继续扩大，不能因销售额漂亮就继续开放新门店。先暂停扩店、清理已有异常和欠款，再决定是否恢复。任何调整都须由负责商务关系的人同客户明确沟通，不能只在后台改价格或关闭权限。</w:t>
      </w:r>
    </w:p>
    <w:p>
      <w:pPr>
        <w:keepNext/>
        <w:jc w:val="center"/>
      </w:pPr>
      <w:r>
        <w:drawing>
          <wp:inline xmlns:a="http://schemas.openxmlformats.org/drawingml/2006/main" xmlns:pic="http://schemas.openxmlformats.org/drawingml/2006/picture">
            <wp:extent cx="5440680" cy="3060382"/>
            <wp:docPr id="4" name="Picture 4" descr="连锁餐饮合同按履约达标和服务后净贡献选择维持重谈收窄或暂停扩店" title="连锁餐饮合同按履约达标和服务后净贡献选择维持重谈收窄或暂停扩店"/>
            <wp:cNvGraphicFramePr>
              <a:graphicFrameLocks noChangeAspect="1"/>
            </wp:cNvGraphicFramePr>
            <a:graphic>
              <a:graphicData uri="http://schemas.openxmlformats.org/drawingml/2006/picture">
                <pic:pic>
                  <pic:nvPicPr>
                    <pic:cNvPr id="0" name="合同续约决策树.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图4：低价合同的四种处理结果取决于可兑现的服务与真实贡献，不能只按销售额排名。</w:t>
      </w:r>
    </w:p>
    <w:p>
      <w:pPr>
        <w:pStyle w:val="Heading1"/>
        <w:keepNext/>
        <w:pageBreakBefore w:val="0"/>
        <w:spacing w:before="360" w:after="160"/>
      </w:pPr>
      <w:r>
        <w:rPr>
          <w:rFonts w:ascii="Microsoft YaHei" w:hAnsi="Microsoft YaHei" w:eastAsia="Microsoft YaHei"/>
          <w:sz w:val="32"/>
        </w:rPr>
        <w:t>最终要回答的是：客户增加门店时，贡献能否一起增长</w:t>
      </w:r>
    </w:p>
    <w:p>
      <w:pPr>
        <w:pStyle w:val="BodyText"/>
        <w:spacing w:after="80" w:line="317" w:lineRule="auto"/>
        <w:ind w:firstLine="420"/>
      </w:pPr>
      <w:r>
        <w:rPr>
          <w:rFonts w:ascii="Microsoft YaHei" w:hAnsi="Microsoft YaHei" w:eastAsia="Microsoft YaHei"/>
          <w:sz w:val="21"/>
        </w:rPr>
        <w:t>续约报告不应只写“销量增长百分之二十、客户关系稳定”。应该能回答：新增门店落在哪条线路、每天何时收货、常备品是否有供方与库存支撑、迟送和补送是谁承担、总部还是门店付款，以及新增应收要占用多少现金。云上订货可把客户货盘与价格、手机商城订单、采购和仓配、门店签收、售后差异、应收回款及分析报表连成可追溯的业务记录；最终能否承接低价和严苛服务，仍由企业根据真实合同、产能与资金测算决定。销售额变大只有在每一家新门店都能按约收到货、每一笔额外服务有人核算并得到合理补偿时，才是值得长期做大的业务。</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连锁餐饮要求准时率、缺货率和补送时效，怎样判断低价合同是否值得长期承接｜云上订货系统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