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集团多处食堂分别验收、总部统一付款，区域伙伴的服务业绩和应收责任归谁｜云上订货系统</w:t>
      </w:r>
    </w:p>
    <w:p>
      <w:pPr>
        <w:pStyle w:val="BodyText"/>
        <w:spacing w:after="80" w:line="317" w:lineRule="auto"/>
        <w:ind w:firstLine="420"/>
      </w:pPr>
      <w:r>
        <w:rPr>
          <w:rFonts w:ascii="Microsoft YaHei" w:hAnsi="Microsoft YaHei" w:eastAsia="Microsoft YaHei"/>
          <w:sz w:val="21"/>
        </w:rPr>
        <w:t>一家食材配送公司同集团总部签年度合同，给三处不同城市的食堂供货。A点由区域伙伴甲送，B点由伙伴乙送，C点走总部中心仓；各食堂分别下单和签收，集团总部月末统一付款。月底A点少送五千元货，B点全部签收，集团总部先扣除A点差异再支付余款。此时若把整笔集团回款平均摊给三个区域，乙的服务业绩会受A点异常影响；若只按发货额给甲结算，又会把短送和退款风险留给总部。解决办法是签约前把集团合同、收货点、服务人、对账主体和收益条件画成一条可核的订单链。</w:t>
      </w:r>
    </w:p>
    <w:p>
      <w:pPr>
        <w:pStyle w:val="Heading1"/>
        <w:keepNext/>
        <w:pageBreakBefore w:val="0"/>
        <w:spacing w:before="360" w:after="160"/>
      </w:pPr>
      <w:r>
        <w:rPr>
          <w:rFonts w:ascii="Microsoft YaHei" w:hAnsi="Microsoft YaHei" w:eastAsia="Microsoft YaHei"/>
          <w:sz w:val="32"/>
        </w:rPr>
        <w:t>先分清五个角色：合同客户、下单人、收货人、服务人、付款人</w:t>
      </w:r>
    </w:p>
    <w:p>
      <w:pPr>
        <w:pStyle w:val="BodyText"/>
        <w:spacing w:after="80" w:line="317" w:lineRule="auto"/>
        <w:ind w:firstLine="420"/>
      </w:pPr>
      <w:r>
        <w:rPr>
          <w:rFonts w:ascii="Microsoft YaHei" w:hAnsi="Microsoft YaHei" w:eastAsia="Microsoft YaHei"/>
          <w:sz w:val="21"/>
        </w:rPr>
        <w:t>集团总部通常决定价格、商品范围与结算周期，食堂负责人决定日常要货和现场验收，本地伙伴可能负责获客、配送和售后，总部财务负责收款与供应商付款。这些角色可以由同一家公司内的人担任，也可能是合作方；不能因为付款集中在集团总部，就把所有门店的订单和责任合并成一个“总部客户”。合同应明确谁有权下单、谁确认替代品、谁签收数量和质量、谁提出争议、谁确认月度对账以及哪一个主体最终付款。</w:t>
      </w:r>
    </w:p>
    <w:p>
      <w:pPr>
        <w:keepNext/>
        <w:jc w:val="center"/>
      </w:pPr>
      <w:r>
        <w:drawing>
          <wp:inline xmlns:a="http://schemas.openxmlformats.org/drawingml/2006/main" xmlns:pic="http://schemas.openxmlformats.org/drawingml/2006/picture">
            <wp:extent cx="5440680" cy="3060382"/>
            <wp:docPr id="1" name="Picture 1" descr="集团总部统一合同结算而三处食堂分别下单签收并由不同区域人员服务的角色结构" title="集团总部统一合同结算而三处食堂分别下单签收并由不同区域人员服务的角色结构"/>
            <wp:cNvGraphicFramePr>
              <a:graphicFrameLocks noChangeAspect="1"/>
            </wp:cNvGraphicFramePr>
            <a:graphic>
              <a:graphicData uri="http://schemas.openxmlformats.org/drawingml/2006/picture">
                <pic:pic>
                  <pic:nvPicPr>
                    <pic:cNvPr id="0" name="集团总部与三处食堂关系.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图1：总部统一价格与付款，各收货点单独保留订单、签收和售后责任，区域伙伴只对其实际服务范围负责。</w:t>
      </w:r>
    </w:p>
    <w:p>
      <w:pPr>
        <w:pStyle w:val="BodyText"/>
        <w:spacing w:after="80" w:line="317" w:lineRule="auto"/>
        <w:ind w:firstLine="420"/>
      </w:pPr>
      <w:r>
        <w:rPr>
          <w:rFonts w:ascii="Microsoft YaHei" w:hAnsi="Microsoft YaHei" w:eastAsia="Microsoft YaHei"/>
          <w:sz w:val="21"/>
        </w:rPr>
        <w:t>客户主档也要区分“集团关系”和“交易关系”。A食堂每天要十箱油，B食堂要八箱，若系统里只建一个总部地址，仓库无法按地点拣货，配送无法取得正确回单，售后也很难判断哪处食堂少收。可以在集团客户关系下按实际结算结构维护食堂和收货地址，让价格及授信由总部统一制定，订单与实收留到具体地点。哪些食堂允许单独追加商品、哪些必须总部批准，应按合同与企业流程设置，不是所有食堂自动拥有同样权限。</w:t>
      </w:r>
    </w:p>
    <w:p>
      <w:pPr>
        <w:pStyle w:val="BodyText"/>
        <w:spacing w:after="80" w:line="317" w:lineRule="auto"/>
        <w:ind w:firstLine="420"/>
      </w:pPr>
      <w:r>
        <w:rPr>
          <w:rFonts w:ascii="Microsoft YaHei" w:hAnsi="Microsoft YaHei" w:eastAsia="Microsoft YaHei"/>
          <w:sz w:val="21"/>
        </w:rPr>
        <w:t>区域伙伴的身份同样要定义。销售归属、配送服务、资金催收与收益分配可以由同一伙伴承担，也可分给不同岗位。如果甲只负责A点配送，总部不应把集团整体坏账直接压给他；如果甲还负责合同签订和客户信用评估，则需另约定他在逾期提醒、资料补齐或部分风险分担上的责任。角色名称可以叫合伙人、业务员或区域服务商，关键是哪些动作由他完成、能查哪些客户和订单、什么情况需要总部审批。</w:t>
      </w:r>
    </w:p>
    <w:p>
      <w:pPr>
        <w:pStyle w:val="Heading1"/>
        <w:keepNext/>
        <w:pageBreakBefore w:val="0"/>
        <w:spacing w:before="360" w:after="160"/>
      </w:pPr>
      <w:r>
        <w:rPr>
          <w:rFonts w:ascii="Microsoft YaHei" w:hAnsi="Microsoft YaHei" w:eastAsia="Microsoft YaHei"/>
          <w:sz w:val="32"/>
        </w:rPr>
        <w:t>从各点签收到总部对账，不能把差异藏进一笔总款</w:t>
      </w:r>
    </w:p>
    <w:p>
      <w:pPr>
        <w:pStyle w:val="BodyText"/>
        <w:spacing w:after="80" w:line="317" w:lineRule="auto"/>
        <w:ind w:firstLine="420"/>
      </w:pPr>
      <w:r>
        <w:rPr>
          <w:rFonts w:ascii="Microsoft YaHei" w:hAnsi="Microsoft YaHei" w:eastAsia="Microsoft YaHei"/>
          <w:sz w:val="21"/>
        </w:rPr>
        <w:t>用一周订单示例：A点订十二万元、B点十万元、C点八万元，共三十万元。若A点实收比发货少五千元，财务应看到A点订购数、出库数和实收数的差异，并核是仓库漏装、司机遗失还是食堂现场争议。B点的十万元不能因为A点差异被改成“集团总额二十九点五万元按比例减少”；C点也应保留其独立签收。总部对账可汇总三处已确认净额，同时把未结差异单独列出，由A点服务人和总部客服追补或冲减。</w:t>
      </w:r>
    </w:p>
    <w:p>
      <w:pPr>
        <w:keepNext/>
        <w:jc w:val="center"/>
      </w:pPr>
      <w:r>
        <w:drawing>
          <wp:inline xmlns:a="http://schemas.openxmlformats.org/drawingml/2006/main" xmlns:pic="http://schemas.openxmlformats.org/drawingml/2006/picture">
            <wp:extent cx="5440680" cy="3060382"/>
            <wp:docPr id="2" name="Picture 2" descr="多处食堂分别下单签收而集团总部汇总对账付款后再归属区域伙伴贡献的业务链" title="多处食堂分别下单签收而集团总部汇总对账付款后再归属区域伙伴贡献的业务链"/>
            <wp:cNvGraphicFramePr>
              <a:graphicFrameLocks noChangeAspect="1"/>
            </wp:cNvGraphicFramePr>
            <a:graphic>
              <a:graphicData uri="http://schemas.openxmlformats.org/drawingml/2006/picture">
                <pic:pic>
                  <pic:nvPicPr>
                    <pic:cNvPr id="0" name="分店签收总部对账链.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图2：总部付款是一笔资金动作，门店验收与区域履约仍是多笔可追溯的业务结果。</w:t>
      </w:r>
    </w:p>
    <w:p>
      <w:pPr>
        <w:pStyle w:val="BodyText"/>
        <w:spacing w:after="80" w:line="317" w:lineRule="auto"/>
        <w:ind w:firstLine="420"/>
      </w:pPr>
      <w:r>
        <w:rPr>
          <w:rFonts w:ascii="Microsoft YaHei" w:hAnsi="Microsoft YaHei" w:eastAsia="Microsoft YaHei"/>
          <w:sz w:val="21"/>
        </w:rPr>
        <w:t>退货、补送和价格争议也必须回到原收货点。A点少五千元，如果周内补齐并签收，可恢复这部分可结算额；若客户拒绝补送并确认扣款，销售应收和相关采购应付按真实结果处理。不能另开一张新订单让集团“总额对上”，却留下原单短送无人负责。月末对账资料应同时有总部汇总和各点回单明细，客户可从总额追到具体食堂，企业也能从总部扣款追到负责的区域与订单。</w:t>
      </w:r>
    </w:p>
    <w:p>
      <w:pPr>
        <w:pStyle w:val="BodyText"/>
        <w:spacing w:after="80" w:line="317" w:lineRule="auto"/>
        <w:ind w:firstLine="420"/>
      </w:pPr>
      <w:r>
        <w:rPr>
          <w:rFonts w:ascii="Microsoft YaHei" w:hAnsi="Microsoft YaHei" w:eastAsia="Microsoft YaHei"/>
          <w:sz w:val="21"/>
        </w:rPr>
        <w:t>集团总部不一定会按每处食堂分别付款。即使银行只来一笔汇款，财务仍要按对账确认的订单净额核销；先核无争议部分，争议部分保留应收和处理人。若客户要求暂缓整笔付款，企业内部可以记录B点伙伴服务已完成，但资金未到账；这两种状态不能混为“乙没业绩”或“乙已经可以领全部收益”。合作规则需要事先写明哪一个时点才形成可结算收益。</w:t>
      </w:r>
    </w:p>
    <w:p>
      <w:pPr>
        <w:pStyle w:val="Heading1"/>
        <w:keepNext/>
        <w:pageBreakBefore w:val="0"/>
        <w:spacing w:before="360" w:after="160"/>
      </w:pPr>
      <w:r>
        <w:rPr>
          <w:rFonts w:ascii="Microsoft YaHei" w:hAnsi="Microsoft YaHei" w:eastAsia="Microsoft YaHei"/>
          <w:sz w:val="32"/>
        </w:rPr>
        <w:t>伙伴收益要按真实贡献算，分清服务与应收风险</w:t>
      </w:r>
    </w:p>
    <w:p>
      <w:pPr>
        <w:pStyle w:val="BodyText"/>
        <w:spacing w:after="80" w:line="317" w:lineRule="auto"/>
        <w:ind w:firstLine="420"/>
      </w:pPr>
      <w:r>
        <w:rPr>
          <w:rFonts w:ascii="Microsoft YaHei" w:hAnsi="Microsoft YaHei" w:eastAsia="Microsoft YaHei"/>
          <w:sz w:val="21"/>
        </w:rPr>
        <w:t>一个常见错误是按伙伴负责区域的发货额直接提成。若甲管理的A点有高额退货或频繁补送，按毛额结算会让总部承担所有履约损失；另一个错误是只按集团总回款平均分配，既不能体现乙完成B点服务，也会让无人负责A点异常。更可执行的基数是先核各食堂实收净额、对应商品毛利，再扣双方约定归属的配送、退补和售后成本，形成各区域服务贡献。分成比例和费用分摊须在伙伴协议中事先约定，不能事后为了某次扣款临时改算法。</w:t>
      </w:r>
    </w:p>
    <w:p>
      <w:pPr>
        <w:keepNext/>
        <w:jc w:val="center"/>
      </w:pPr>
      <w:r>
        <w:drawing>
          <wp:inline xmlns:a="http://schemas.openxmlformats.org/drawingml/2006/main" xmlns:pic="http://schemas.openxmlformats.org/drawingml/2006/picture">
            <wp:extent cx="5440680" cy="3060382"/>
            <wp:docPr id="3" name="Picture 3" descr="集团三处食堂各自实收与A点短送在总部统一到账前后如何核区域伙伴收益基数的示例" title="集团三处食堂各自实收与A点短送在总部统一到账前后如何核区域伙伴收益基数的示例"/>
            <wp:cNvGraphicFramePr>
              <a:graphicFrameLocks noChangeAspect="1"/>
            </wp:cNvGraphicFramePr>
            <a:graphic>
              <a:graphicData uri="http://schemas.openxmlformats.org/drawingml/2006/picture">
                <pic:pic>
                  <pic:nvPicPr>
                    <pic:cNvPr id="0" name="三个食堂收益归属试算.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图3：A点短送只影响其原订单的可结算净额；B点与C点保留自身履约贡献，最终收益仍按约定收款条件确认。</w:t>
      </w:r>
    </w:p>
    <w:p>
      <w:pPr>
        <w:pStyle w:val="BodyText"/>
        <w:spacing w:after="80" w:line="317" w:lineRule="auto"/>
        <w:ind w:firstLine="420"/>
      </w:pPr>
      <w:r>
        <w:rPr>
          <w:rFonts w:ascii="Microsoft YaHei" w:hAnsi="Microsoft YaHei" w:eastAsia="Microsoft YaHei"/>
          <w:sz w:val="21"/>
        </w:rPr>
        <w:t>应收责任可分阶段设定。伙伴负责获得食堂真实签收、协助核对总部扣款和提醒付款；总部作为合同主体可能负责授信审批、开票与最终催收决策。若伙伴无权决定客户账期，却要对总部审批的所有坏账承担责任，这样的规则既难执行也会打击其拓客积极性。反过来，伙伴私自承诺超长账期或绕过审批给食堂供货，应由协议明确审批例外和追责机制。伙伴的“应收责任”应与其能控制的行为相匹配，不能用一句“区域伙伴负责回款”替代合同与实际权限。</w:t>
      </w:r>
    </w:p>
    <w:p>
      <w:pPr>
        <w:pStyle w:val="BodyText"/>
        <w:spacing w:after="80" w:line="317" w:lineRule="auto"/>
        <w:ind w:firstLine="420"/>
      </w:pPr>
      <w:r>
        <w:rPr>
          <w:rFonts w:ascii="Microsoft YaHei" w:hAnsi="Microsoft YaHei" w:eastAsia="Microsoft YaHei"/>
          <w:sz w:val="21"/>
        </w:rPr>
        <w:t>合作关系发生变更时，更要保留历史。甲退出A区域后，已送未收的订单是谁继续跟，后续补送产生的费用由谁承担，之前可结算但因集团统一付款未到账的收益何时支付？系统里改变客户归属只影响之后的新业务，不应把过去订单的服务人和审核人一并改掉。应按订单日期、履约人、签收结果与原协议记录分界，防止区域交接后原欠款和售后成为无人负责的账。</w:t>
      </w:r>
    </w:p>
    <w:p>
      <w:pPr>
        <w:pStyle w:val="Heading1"/>
        <w:keepNext/>
        <w:pageBreakBefore w:val="0"/>
        <w:spacing w:before="360" w:after="160"/>
      </w:pPr>
      <w:r>
        <w:rPr>
          <w:rFonts w:ascii="Microsoft YaHei" w:hAnsi="Microsoft YaHei" w:eastAsia="Microsoft YaHei"/>
          <w:sz w:val="32"/>
        </w:rPr>
        <w:t>在云上订货中，先保留各食堂订单，再汇成集团视图</w:t>
      </w:r>
    </w:p>
    <w:p>
      <w:pPr>
        <w:pStyle w:val="BodyText"/>
        <w:spacing w:after="80" w:line="317" w:lineRule="auto"/>
        <w:ind w:firstLine="420"/>
      </w:pPr>
      <w:r>
        <w:rPr>
          <w:rFonts w:ascii="Microsoft YaHei" w:hAnsi="Microsoft YaHei" w:eastAsia="Microsoft YaHei"/>
          <w:sz w:val="21"/>
        </w:rPr>
        <w:t>总部在PC管理端核集团客户关系、价格、授信、订单与回款；每个食堂按授权商品在手机商城下单，客户若仍用采购单或微信报量，客服代客录入时也要选对收货地点和约定时段。仓库按地点和SKU分拣，区域伙伴在手机管理端跟进自己负责的订单、签收和售后，权限只覆盖职责范围。总部可按客户和食堂汇总发货、退补和对账，财务再按合同确定的付款主体核销应收。若某一租户的集团客户层级或伙伴收益功能需额外配置，应以当前实际功能核验，不能只凭概念图假设系统会自动拆分法律结算责任。</w:t>
      </w:r>
    </w:p>
    <w:p>
      <w:pPr>
        <w:pStyle w:val="BodyText"/>
        <w:spacing w:after="80" w:line="317" w:lineRule="auto"/>
        <w:ind w:firstLine="420"/>
      </w:pPr>
      <w:r>
        <w:rPr>
          <w:rFonts w:ascii="Microsoft YaHei" w:hAnsi="Microsoft YaHei" w:eastAsia="Microsoft YaHei"/>
          <w:sz w:val="21"/>
        </w:rPr>
        <w:t>数据字段至少要能回答六个问题：合同价属于哪个客户，订单由哪处食堂提出，货送到哪里，由谁服务并拿回单，哪一笔退补影响了净额，以及客户的哪次汇款核销哪些订单。缺少其中一项，伙伴提成和总部应收就会变成手工争论。商品价格若总部统一，但特定食堂有额外运费或特殊品加价，也应明确在报价和订单上体现；不能让伙伴口头承诺、财务月末才发现对不上合同。</w:t>
      </w:r>
    </w:p>
    <w:p>
      <w:pPr>
        <w:pStyle w:val="BodyText"/>
        <w:spacing w:after="80" w:line="317" w:lineRule="auto"/>
        <w:ind w:firstLine="420"/>
      </w:pPr>
      <w:r>
        <w:rPr>
          <w:rFonts w:ascii="Microsoft YaHei" w:hAnsi="Microsoft YaHei" w:eastAsia="Microsoft YaHei"/>
          <w:sz w:val="21"/>
        </w:rPr>
        <w:t>先用三个收货点各取两笔订单试跑：一笔正常签收，一笔短送或退货；再用一次总部合并付款测试核销。核对订单、出库、实收、对账明细、到账、伙伴贡献是否能逐项反查。系统报表可帮助按客户、订单、商品和服务范围查看经营结果，但空白或全为零的页面不能证明已经实现利润分配；必须用真实业务数据和事先约定的费用口径算出具体数值。</w:t>
      </w:r>
    </w:p>
    <w:p>
      <w:pPr>
        <w:pStyle w:val="Heading1"/>
        <w:keepNext/>
        <w:pageBreakBefore w:val="0"/>
        <w:spacing w:before="360" w:after="160"/>
      </w:pPr>
      <w:r>
        <w:rPr>
          <w:rFonts w:ascii="Microsoft YaHei" w:hAnsi="Microsoft YaHei" w:eastAsia="Microsoft YaHei"/>
          <w:sz w:val="32"/>
        </w:rPr>
        <w:t>业绩先留证，收益按约定节点确认，异常沿原单追溯</w:t>
      </w:r>
    </w:p>
    <w:p>
      <w:pPr>
        <w:pStyle w:val="BodyText"/>
        <w:spacing w:after="80" w:line="317" w:lineRule="auto"/>
        <w:ind w:firstLine="420"/>
      </w:pPr>
      <w:r>
        <w:rPr>
          <w:rFonts w:ascii="Microsoft YaHei" w:hAnsi="Microsoft YaHei" w:eastAsia="Microsoft YaHei"/>
          <w:sz w:val="21"/>
        </w:rPr>
        <w:t>可以把伙伴收益分成三个状态管理。食堂签收后，先记录服务贡献和可能的费用，表示伙伴完成了现场动作；总部确认对账净额后，更新可结算基数，短送、退货和争议要逐单排除或调整；客户实际回款达到协议约定条件后，再确认应支付收益。企业也可以约定部分预结算，但预结算比例、后续退货或坏账的冲回方式必须提前说清。不能因为系统显示“已发货”就默认客户已经承认数量和价格，更不能把开票当作到账。</w:t>
      </w:r>
    </w:p>
    <w:p>
      <w:pPr>
        <w:keepNext/>
        <w:jc w:val="center"/>
      </w:pPr>
      <w:r>
        <w:drawing>
          <wp:inline xmlns:a="http://schemas.openxmlformats.org/drawingml/2006/main" xmlns:pic="http://schemas.openxmlformats.org/drawingml/2006/picture">
            <wp:extent cx="5440680" cy="3060382"/>
            <wp:docPr id="4" name="Picture 4" descr="区域伙伴订单分别处于已服务待对账已回款或追溯调整时如何确认收益的决策" title="区域伙伴订单分别处于已服务待对账已回款或追溯调整时如何确认收益的决策"/>
            <wp:cNvGraphicFramePr>
              <a:graphicFrameLocks noChangeAspect="1"/>
            </wp:cNvGraphicFramePr>
            <a:graphic>
              <a:graphicData uri="http://schemas.openxmlformats.org/drawingml/2006/picture">
                <pic:pic>
                  <pic:nvPicPr>
                    <pic:cNvPr id="0" name="区域伙伴收益确认决策.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图4：服务业绩与可支付收益可分阶段记录；什么时点兑现、何种差异冲回由合作规则预先确定。</w:t>
      </w:r>
    </w:p>
    <w:p>
      <w:pPr>
        <w:pStyle w:val="BodyText"/>
        <w:spacing w:after="80" w:line="317" w:lineRule="auto"/>
        <w:ind w:firstLine="420"/>
      </w:pPr>
      <w:r>
        <w:rPr>
          <w:rFonts w:ascii="Microsoft YaHei" w:hAnsi="Microsoft YaHei" w:eastAsia="Microsoft YaHei"/>
          <w:sz w:val="21"/>
        </w:rPr>
        <w:t>出现跨区支援时，也应按事实处理。甲原本负责A点，但B点临时缺司机，由甲补送两箱；这次配送服务可单独记录，不能自动把B点全部客户业绩转给甲。若总部派车处理A点售后，甲仍是原客户维护人，补送成本是否扣他的贡献取决于短送原因及协议。把客户归属、履约服务、销售贡献和成本责任分别记录，才能避免“一个人名管所有”的粗糙分配。</w:t>
      </w:r>
    </w:p>
    <w:p>
      <w:pPr>
        <w:pStyle w:val="Heading1"/>
        <w:keepNext/>
        <w:pageBreakBefore w:val="0"/>
        <w:spacing w:before="360" w:after="160"/>
      </w:pPr>
      <w:r>
        <w:rPr>
          <w:rFonts w:ascii="Microsoft YaHei" w:hAnsi="Microsoft YaHei" w:eastAsia="Microsoft YaHei"/>
          <w:sz w:val="32"/>
        </w:rPr>
        <w:t>集团客户能扩大供货半径，前提是责任也能分到每一笔订单</w:t>
      </w:r>
    </w:p>
    <w:p>
      <w:pPr>
        <w:pStyle w:val="BodyText"/>
        <w:spacing w:after="80" w:line="317" w:lineRule="auto"/>
        <w:ind w:firstLine="420"/>
      </w:pPr>
      <w:r>
        <w:rPr>
          <w:rFonts w:ascii="Microsoft YaHei" w:hAnsi="Microsoft YaHei" w:eastAsia="Microsoft YaHei"/>
          <w:sz w:val="21"/>
        </w:rPr>
        <w:t>多处食堂、总部统一付款的模式有规模优势：价格和采购可以集中谈，区域伙伴贴近现场，客户只面对一个集团对账入口。它同样放大了责任交叉风险。经营者每月应从总部应收追到各食堂实收，从每处食堂退补追到服务人和费用，再从实际到账追到伙伴收益的确认条件。若三个收货点增加到三十个，规则依然能解释“谁服务、谁验收、哪笔款已到、哪笔收益可付”，这个模式才值得继续复制。云上订货承接这些订单、履约与资金事实，伙伴分成和应收风险的商业约定仍需由企业在合同及权限中写清，并按真实结果执行。</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集团多处食堂分别验收、总部统一付款，区域伙伴的服务业绩和应收责任归谁｜云上订货系统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