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建材装饰企业应该主攻工程项目大客户，还是经营门店和装修队中小客户｜云上订货系统</w:t>
      </w:r>
    </w:p>
    <w:p>
      <w:pPr>
        <w:pStyle w:val="BodyText"/>
        <w:spacing w:after="80" w:line="317" w:lineRule="auto"/>
        <w:ind w:firstLine="420"/>
      </w:pPr>
      <w:r>
        <w:rPr>
          <w:rFonts w:ascii="Microsoft YaHei" w:hAnsi="Microsoft YaHei" w:eastAsia="Microsoft YaHei"/>
          <w:sz w:val="21"/>
        </w:rPr>
        <w:t>一家建材装饰批发商去年接了几个工程项目，合同金额显著增加，仓库和采购都围着工地交期转。工程改规格、分批送货、尾款拖延时，老板才发现大项目占着现金和人手；另一边，附近建材门店和装修队虽然每单金额小，却持续补货、结算更快。此时不宜简单说“放弃工程、全面转小客户”，也不能只等工程市场回暖。应该把不同客户对货盘、交付和资金的真实要求拆开，比较同样的团队与仓库资源投入之后，哪组客户能带来更稳的净贡献。</w:t>
      </w:r>
    </w:p>
    <w:p>
      <w:pPr>
        <w:pStyle w:val="Heading1"/>
        <w:keepNext/>
        <w:pageBreakBefore w:val="0"/>
        <w:spacing w:before="360" w:after="160"/>
      </w:pPr>
      <w:r>
        <w:rPr>
          <w:rFonts w:ascii="Microsoft YaHei" w:hAnsi="Microsoft YaHei" w:eastAsia="Microsoft YaHei"/>
          <w:sz w:val="32"/>
        </w:rPr>
        <w:t>工程、门店和装修队买的不是同一种服务</w:t>
      </w:r>
    </w:p>
    <w:p>
      <w:pPr>
        <w:pStyle w:val="BodyText"/>
        <w:spacing w:after="80" w:line="317" w:lineRule="auto"/>
        <w:ind w:firstLine="420"/>
      </w:pPr>
      <w:r>
        <w:rPr>
          <w:rFonts w:ascii="Microsoft YaHei" w:hAnsi="Microsoft YaHei" w:eastAsia="Microsoft YaHei"/>
          <w:sz w:val="21"/>
        </w:rPr>
        <w:t>工程项目关注图纸规格、批次供应、施工节点、变更确认和现场签证。金额大不代表一次性发完，板材、涂料、管材等可能分楼栋、楼层和施工阶段到货；尾款何时付还要看合同结算与验收。建材门店重视常备SKU、稳定价差和缺货时能否迅速补货。装修队按现场施工进度临时要货，常常量小、多次下单，最关心是否当天能拿到相同规格，或者有谁负责确认替代品。用一张统一批发价和同一配送承诺服务这三类客户，既难控制成本，也容易让小单把仓配资源吃光。</w:t>
      </w:r>
    </w:p>
    <w:p>
      <w:pPr>
        <w:keepNext/>
        <w:jc w:val="center"/>
      </w:pPr>
      <w:r>
        <w:drawing>
          <wp:inline xmlns:a="http://schemas.openxmlformats.org/drawingml/2006/main" xmlns:pic="http://schemas.openxmlformats.org/drawingml/2006/picture">
            <wp:extent cx="5440680" cy="3060382"/>
            <wp:docPr id="1" name="Picture 1" descr="建材装饰企业工程项目建材门店和装修队客户在订单节奏交付与收款上的差异" title="建材装饰企业工程项目建材门店和装修队客户在订单节奏交付与收款上的差异"/>
            <wp:cNvGraphicFramePr>
              <a:graphicFrameLocks noChangeAspect="1"/>
            </wp:cNvGraphicFramePr>
            <a:graphic>
              <a:graphicData uri="http://schemas.openxmlformats.org/drawingml/2006/picture">
                <pic:pic>
                  <pic:nvPicPr>
                    <pic:cNvPr id="0" name="工程门店装修队对照.png"/>
                    <pic:cNvPicPr/>
                  </pic:nvPicPr>
                  <pic:blipFill>
                    <a:blip r:embed="rId11"/>
                    <a:stretch>
                      <a:fillRect/>
                    </a:stretch>
                  </pic:blipFill>
                  <pic:spPr>
                    <a:xfrm>
                      <a:off x="0" y="0"/>
                      <a:ext cx="5440680" cy="3060382"/>
                    </a:xfrm>
                    <a:prstGeom prst="rect"/>
                  </pic:spPr>
                </pic:pic>
              </a:graphicData>
            </a:graphic>
          </wp:inline>
        </w:drawing>
      </w:r>
    </w:p>
    <w:p>
      <w:pPr>
        <w:spacing w:after="200"/>
        <w:jc w:val="center"/>
      </w:pPr>
      <w:r>
        <w:rPr>
          <w:rFonts w:ascii="Microsoft YaHei" w:hAnsi="Microsoft YaHei" w:eastAsia="Microsoft YaHei"/>
          <w:color w:val="596C78"/>
          <w:sz w:val="18"/>
        </w:rPr>
        <w:t>图1：客户结构选择应从服务与资金条件出发，不能只按单笔金额判断价值。</w:t>
      </w:r>
    </w:p>
    <w:p>
      <w:pPr>
        <w:pStyle w:val="BodyText"/>
        <w:spacing w:after="80" w:line="317" w:lineRule="auto"/>
        <w:ind w:firstLine="420"/>
      </w:pPr>
      <w:r>
        <w:rPr>
          <w:rFonts w:ascii="Microsoft YaHei" w:hAnsi="Microsoft YaHei" w:eastAsia="Microsoft YaHei"/>
          <w:sz w:val="21"/>
        </w:rPr>
        <w:t>先按真实客户分组，而不是按名称粗分。“工程公司”可能每个项目独立采购与付款，同一公司不同项目的回款表现不同；“门店”有的现款自提，有的要求月结并保退换；装修队也可能长期给同一小区做装修，形成稳定可预测的复购。建议按最近六至十二个月的订单核每组客户的订单频次、平均单值、毛利、配送次数、退货与变更、应收账龄和复购。项目还要逐项记录已签合同、已下单、已发货、已签收和已到账，避免把未执行的合同额算作已经贡献。</w:t>
      </w:r>
    </w:p>
    <w:p>
      <w:pPr>
        <w:pStyle w:val="Heading1"/>
        <w:keepNext/>
        <w:pageBreakBefore w:val="0"/>
        <w:spacing w:before="360" w:after="160"/>
      </w:pPr>
      <w:r>
        <w:rPr>
          <w:rFonts w:ascii="Microsoft YaHei" w:hAnsi="Microsoft YaHei" w:eastAsia="Microsoft YaHei"/>
          <w:sz w:val="32"/>
        </w:rPr>
        <w:t>工程大单的利润，常被变更、分批配送和尾款占用改写</w:t>
      </w:r>
    </w:p>
    <w:p>
      <w:pPr>
        <w:pStyle w:val="BodyText"/>
        <w:spacing w:after="80" w:line="317" w:lineRule="auto"/>
        <w:ind w:firstLine="420"/>
      </w:pPr>
      <w:r>
        <w:rPr>
          <w:rFonts w:ascii="Microsoft YaHei" w:hAnsi="Microsoft YaHei" w:eastAsia="Microsoft YaHei"/>
          <w:sz w:val="21"/>
        </w:rPr>
        <w:t>工程报价时，先核图纸与清单中每个规格的采购来源、交付批次和价格调整条件。比如客户原定一批标准板材，施工中改色改厚，供方旧规格不能退、工地却要求新规格马上到；如果没有变更确认和责任归属，销售报价中的毛利会被库存和补送消耗。分批配送也要算车次、卸货等待和现场签收，不能用整车一趟的费用估算一个月几十次临时补送。工地收货人、签证人和付款审批人不同时，更要保证每批数量与变更有依据。</w:t>
      </w:r>
    </w:p>
    <w:p>
      <w:pPr>
        <w:keepNext/>
        <w:jc w:val="center"/>
      </w:pPr>
      <w:r>
        <w:drawing>
          <wp:inline xmlns:a="http://schemas.openxmlformats.org/drawingml/2006/main" xmlns:pic="http://schemas.openxmlformats.org/drawingml/2006/picture">
            <wp:extent cx="5440680" cy="3060382"/>
            <wp:docPr id="2" name="Picture 2" descr="工程项目从图纸报价采购备货分批交付到增减项结算尾款的时间轴" title="工程项目从图纸报价采购备货分批交付到增减项结算尾款的时间轴"/>
            <wp:cNvGraphicFramePr>
              <a:graphicFrameLocks noChangeAspect="1"/>
            </wp:cNvGraphicFramePr>
            <a:graphic>
              <a:graphicData uri="http://schemas.openxmlformats.org/drawingml/2006/picture">
                <pic:pic>
                  <pic:nvPicPr>
                    <pic:cNvPr id="0" name="工程项目尾款时间轴.png"/>
                    <pic:cNvPicPr/>
                  </pic:nvPicPr>
                  <pic:blipFill>
                    <a:blip r:embed="rId12"/>
                    <a:stretch>
                      <a:fillRect/>
                    </a:stretch>
                  </pic:blipFill>
                  <pic:spPr>
                    <a:xfrm>
                      <a:off x="0" y="0"/>
                      <a:ext cx="5440680" cy="3060382"/>
                    </a:xfrm>
                    <a:prstGeom prst="rect"/>
                  </pic:spPr>
                </pic:pic>
              </a:graphicData>
            </a:graphic>
          </wp:inline>
        </w:drawing>
      </w:r>
    </w:p>
    <w:p>
      <w:pPr>
        <w:spacing w:after="200"/>
        <w:jc w:val="center"/>
      </w:pPr>
      <w:r>
        <w:rPr>
          <w:rFonts w:ascii="Microsoft YaHei" w:hAnsi="Microsoft YaHei" w:eastAsia="Microsoft YaHei"/>
          <w:color w:val="596C78"/>
          <w:sz w:val="18"/>
        </w:rPr>
        <w:t>图2：项目合同金额、已送货数量和实际到账金额处于不同阶段，不应合并成一个“项目业绩”。</w:t>
      </w:r>
    </w:p>
    <w:p>
      <w:pPr>
        <w:pStyle w:val="BodyText"/>
        <w:spacing w:after="80" w:line="317" w:lineRule="auto"/>
        <w:ind w:firstLine="420"/>
      </w:pPr>
      <w:r>
        <w:rPr>
          <w:rFonts w:ascii="Microsoft YaHei" w:hAnsi="Microsoft YaHei" w:eastAsia="Microsoft YaHei"/>
          <w:sz w:val="21"/>
        </w:rPr>
        <w:t>最难看清的是尾款与现金。供方可能要求备货定金，企业在送货后按合同等结算；若项目尾款长期未收，后续项目采购又要付款，仓库看着订单满，财务却在找周转。项目客户值得继续做的前提，不是从来不欠款，而是每个项目的已交货、待结算、争议款和预计到账可预测，企业有明确的现金承受边界。对质量稳定、变更沟通规范、付款按计划走的项目可保留；对低报价、多次临时加单又长期压款的项目，应限制新接规模或重谈价格和预付款。</w:t>
      </w:r>
    </w:p>
    <w:p>
      <w:pPr>
        <w:pStyle w:val="Heading1"/>
        <w:keepNext/>
        <w:pageBreakBefore w:val="0"/>
        <w:spacing w:before="360" w:after="160"/>
      </w:pPr>
      <w:r>
        <w:rPr>
          <w:rFonts w:ascii="Microsoft YaHei" w:hAnsi="Microsoft YaHei" w:eastAsia="Microsoft YaHei"/>
          <w:sz w:val="32"/>
        </w:rPr>
        <w:t>小客户订单碎，但可用复购和回款换取更快的周转</w:t>
      </w:r>
    </w:p>
    <w:p>
      <w:pPr>
        <w:pStyle w:val="BodyText"/>
        <w:spacing w:after="80" w:line="317" w:lineRule="auto"/>
        <w:ind w:firstLine="420"/>
      </w:pPr>
      <w:r>
        <w:rPr>
          <w:rFonts w:ascii="Microsoft YaHei" w:hAnsi="Microsoft YaHei" w:eastAsia="Microsoft YaHei"/>
          <w:sz w:val="21"/>
        </w:rPr>
        <w:t>建材门店如果每周固定补货，有机会让企业按真实销售备常用品，减少为单个工程囤专用品；装修队虽然一次可能只要几件材料，却能提供多个工地的连续需求。企业可按客户类型建立可售货盘：门店看到常备SKU、阶梯价格和可售状态，装修队看到现货、适配规格和交付时段。售前要把最小起订量、同城配送范围、破损和退换条件说清，避免“多几个客户”变成“每天多十几趟免费小车”。</w:t>
      </w:r>
    </w:p>
    <w:p>
      <w:pPr>
        <w:pStyle w:val="BodyText"/>
        <w:spacing w:after="80" w:line="317" w:lineRule="auto"/>
        <w:ind w:firstLine="420"/>
      </w:pPr>
      <w:r>
        <w:rPr>
          <w:rFonts w:ascii="Microsoft YaHei" w:hAnsi="Microsoft YaHei" w:eastAsia="Microsoft YaHei"/>
          <w:sz w:val="21"/>
        </w:rPr>
        <w:t>小客户也有代价。装修队临时改单、工地找不到收货人、门店压货后要求整批退，都可能吞掉看似较高的售价。客户利润应按商品成交价减采购，再扣配送、拣货、退货和售后；回款按实际到账，而不是“客户说月底转”。同样的仓库和车辆能否服务更多客户，取决于这些小单能否按区域、截单时间和货盘组合成可执行的线路，不是客户数量越多越好。</w:t>
      </w:r>
    </w:p>
    <w:p>
      <w:pPr>
        <w:pStyle w:val="BodyText"/>
        <w:spacing w:after="80" w:line="317" w:lineRule="auto"/>
        <w:ind w:firstLine="420"/>
      </w:pPr>
      <w:r>
        <w:rPr>
          <w:rFonts w:ascii="Microsoft YaHei" w:hAnsi="Microsoft YaHei" w:eastAsia="Microsoft YaHei"/>
          <w:sz w:val="21"/>
        </w:rPr>
        <w:t>用一个虚拟季度比较：工程项目销售三百万元，扣商品采购和项目履约后贡献十八万元，但有约一百六十万元占用在提前采购与尾款；门店和装修队组合销售一百八十万元，扣小单配送后贡献十六万元，约三十万元资金仍在周转。这并非说后者必然优胜，而是提醒经营者看贡献与占款的比例，也看坏账、复购和团队能否长期服务。若工程客户按期付进度款、且采购可跟单付款，它可能比多数碎单更有价值；若门店频繁退换，小客户组合也会失去优势。</w:t>
      </w:r>
    </w:p>
    <w:p>
      <w:pPr>
        <w:keepNext/>
        <w:jc w:val="center"/>
      </w:pPr>
      <w:r>
        <w:drawing>
          <wp:inline xmlns:a="http://schemas.openxmlformats.org/drawingml/2006/main" xmlns:pic="http://schemas.openxmlformats.org/drawingml/2006/picture">
            <wp:extent cx="5440680" cy="3060382"/>
            <wp:docPr id="3" name="Picture 3" descr="工程客户与门店装修队组合按销售服务后贡献和占款比较的虚拟季度算例" title="工程客户与门店装修队组合按销售服务后贡献和占款比较的虚拟季度算例"/>
            <wp:cNvGraphicFramePr>
              <a:graphicFrameLocks noChangeAspect="1"/>
            </wp:cNvGraphicFramePr>
            <a:graphic>
              <a:graphicData uri="http://schemas.openxmlformats.org/drawingml/2006/picture">
                <pic:pic>
                  <pic:nvPicPr>
                    <pic:cNvPr id="0" name="两种客户组合试算.png"/>
                    <pic:cNvPicPr/>
                  </pic:nvPicPr>
                  <pic:blipFill>
                    <a:blip r:embed="rId13"/>
                    <a:stretch>
                      <a:fillRect/>
                    </a:stretch>
                  </pic:blipFill>
                  <pic:spPr>
                    <a:xfrm>
                      <a:off x="0" y="0"/>
                      <a:ext cx="5440680" cy="3060382"/>
                    </a:xfrm>
                    <a:prstGeom prst="rect"/>
                  </pic:spPr>
                </pic:pic>
              </a:graphicData>
            </a:graphic>
          </wp:inline>
        </w:drawing>
      </w:r>
    </w:p>
    <w:p>
      <w:pPr>
        <w:spacing w:after="200"/>
        <w:jc w:val="center"/>
      </w:pPr>
      <w:r>
        <w:rPr>
          <w:rFonts w:ascii="Microsoft YaHei" w:hAnsi="Microsoft YaHei" w:eastAsia="Microsoft YaHei"/>
          <w:color w:val="596C78"/>
          <w:sz w:val="18"/>
        </w:rPr>
        <w:t>图3：虚拟算例中工程多贡献两万元，却多占用约一百三十万元；实际取舍须用企业自身现金和复购数据重算。</w:t>
      </w:r>
    </w:p>
    <w:p>
      <w:pPr>
        <w:pStyle w:val="Heading1"/>
        <w:keepNext/>
        <w:pageBreakBefore w:val="0"/>
        <w:spacing w:before="360" w:after="160"/>
      </w:pPr>
      <w:r>
        <w:rPr>
          <w:rFonts w:ascii="Microsoft YaHei" w:hAnsi="Microsoft YaHei" w:eastAsia="Microsoft YaHei"/>
          <w:sz w:val="32"/>
        </w:rPr>
        <w:t>用云上订货把三类客户经营成不同的业务闭环</w:t>
      </w:r>
    </w:p>
    <w:p>
      <w:pPr>
        <w:pStyle w:val="BodyText"/>
        <w:spacing w:after="80" w:line="317" w:lineRule="auto"/>
        <w:ind w:firstLine="420"/>
      </w:pPr>
      <w:r>
        <w:rPr>
          <w:rFonts w:ascii="Microsoft YaHei" w:hAnsi="Microsoft YaHei" w:eastAsia="Microsoft YaHei"/>
          <w:sz w:val="21"/>
        </w:rPr>
        <w:t>在PC管理端，销售与经营者按项目、门店和装修队维护客户类型、价格、授权货盘与业务归属。工程按项目报价和每次交付核毛利、变更与应收；门店用周期订单观察补货频次及滞销退货；装修队看小单频次、实际配送范围和重复购买。客户侧优先手机商城：门店老板可以按既有价格复购，装修队在工地按规格下单并看预计送达；工程采购也可按合同权限查看项目商品，特殊清单与变更仍由负责人与客户确认。PC商城可作为客户桌面采购的补充，不能把所有客户假定为只用PC下单。</w:t>
      </w:r>
    </w:p>
    <w:p>
      <w:pPr>
        <w:pStyle w:val="BodyText"/>
        <w:spacing w:after="80" w:line="317" w:lineRule="auto"/>
        <w:ind w:firstLine="420"/>
      </w:pPr>
      <w:r>
        <w:rPr>
          <w:rFonts w:ascii="Microsoft YaHei" w:hAnsi="Microsoft YaHei" w:eastAsia="Microsoft YaHei"/>
          <w:sz w:val="21"/>
        </w:rPr>
        <w:t>采购按不同货盘补货。常备品可以结合销售订单与库存周转制定安全量；工程专用品尽可能以已确认项目需求向供方采购，避免项目暂停后形成难以转卖的库存；装修队常用辅料可在可用库存范围内承诺时效。仓库分拣和配送按项目工地、门店线路及装修队临时订单区分，分批出库后保留每次实收。售后退货也要回原订单核销售应收和库存状态，不能只在微信群里说“下次抵”。系统帮助把客户、商品、价格、订单、出库、退补、回款和报表接在一起，具体库存预留、审批和移动端入口按实际开通能力验证。</w:t>
      </w:r>
    </w:p>
    <w:p>
      <w:pPr>
        <w:pStyle w:val="BodyText"/>
        <w:spacing w:after="80" w:line="317" w:lineRule="auto"/>
        <w:ind w:firstLine="420"/>
      </w:pPr>
      <w:r>
        <w:rPr>
          <w:rFonts w:ascii="Microsoft YaHei" w:hAnsi="Microsoft YaHei" w:eastAsia="Microsoft YaHei"/>
          <w:sz w:val="21"/>
        </w:rPr>
        <w:t>最有用的经营表不是单看销售额排名，而是按客户层同时看服务后贡献、应收账龄、库存占用、复购和异常次数。工程客户要能从总合同追到项目和批次；门店要看到哪些SKU每月复购、哪些因长期不动反复退；装修队要看获客后第二、第三次是否自主下单，配送费是否因太多零散急单超过价差。报表中的单位与成本口径必须一致，否则将工程的整车费用和装修队小单单次费用直接平均，会得出虚假的比较。</w:t>
      </w:r>
    </w:p>
    <w:p>
      <w:pPr>
        <w:pStyle w:val="Heading1"/>
        <w:keepNext/>
        <w:pageBreakBefore w:val="0"/>
        <w:spacing w:before="360" w:after="160"/>
      </w:pPr>
      <w:r>
        <w:rPr>
          <w:rFonts w:ascii="Microsoft YaHei" w:hAnsi="Microsoft YaHei" w:eastAsia="Microsoft YaHei"/>
          <w:sz w:val="32"/>
        </w:rPr>
        <w:t>不必骤然转型：先保留好工程，再培育高复购中小客户</w:t>
      </w:r>
    </w:p>
    <w:p>
      <w:pPr>
        <w:pStyle w:val="BodyText"/>
        <w:spacing w:after="80" w:line="317" w:lineRule="auto"/>
        <w:ind w:firstLine="420"/>
      </w:pPr>
      <w:r>
        <w:rPr>
          <w:rFonts w:ascii="Microsoft YaHei" w:hAnsi="Microsoft YaHei" w:eastAsia="Microsoft YaHei"/>
          <w:sz w:val="21"/>
        </w:rPr>
        <w:t>可以选一个季度作试点。保留合同条款、施工节点与回款可控的工程项目，暂停接报价过低且尾款长期不清的新项目；在现有供货区域选一批门店，给稳定常备货盘、清晰客户价和手机复购入口；对装修队明确同城截单、最低起订与特殊时段配送费用。试点至少观察每层客户新增多少订单、每单扣履约后留下多少贡献、应收和库存占用怎样变化。若门店新增订单只是从原工程客户内部转移，或小单扩张导致配送线路失控，不应拿“客户数增长”当成功。</w:t>
      </w:r>
    </w:p>
    <w:p>
      <w:pPr>
        <w:keepNext/>
        <w:jc w:val="center"/>
      </w:pPr>
      <w:r>
        <w:drawing>
          <wp:inline xmlns:a="http://schemas.openxmlformats.org/drawingml/2006/main" xmlns:pic="http://schemas.openxmlformats.org/drawingml/2006/picture">
            <wp:extent cx="5440680" cy="3060382"/>
            <wp:docPr id="4" name="Picture 4" descr="建材装饰企业按项目净贡献回款与门店装修队复购分层调整客户结构的路径" title="建材装饰企业按项目净贡献回款与门店装修队复购分层调整客户结构的路径"/>
            <wp:cNvGraphicFramePr>
              <a:graphicFrameLocks noChangeAspect="1"/>
            </wp:cNvGraphicFramePr>
            <a:graphic>
              <a:graphicData uri="http://schemas.openxmlformats.org/drawingml/2006/picture">
                <pic:pic>
                  <pic:nvPicPr>
                    <pic:cNvPr id="0" name="客户结构调整路径.png"/>
                    <pic:cNvPicPr/>
                  </pic:nvPicPr>
                  <pic:blipFill>
                    <a:blip r:embed="rId14"/>
                    <a:stretch>
                      <a:fillRect/>
                    </a:stretch>
                  </pic:blipFill>
                  <pic:spPr>
                    <a:xfrm>
                      <a:off x="0" y="0"/>
                      <a:ext cx="5440680" cy="3060382"/>
                    </a:xfrm>
                    <a:prstGeom prst="rect"/>
                  </pic:spPr>
                </pic:pic>
              </a:graphicData>
            </a:graphic>
          </wp:inline>
        </w:drawing>
      </w:r>
    </w:p>
    <w:p>
      <w:pPr>
        <w:spacing w:after="200"/>
        <w:jc w:val="center"/>
      </w:pPr>
      <w:r>
        <w:rPr>
          <w:rFonts w:ascii="Microsoft YaHei" w:hAnsi="Microsoft YaHei" w:eastAsia="Microsoft YaHei"/>
          <w:color w:val="596C78"/>
          <w:sz w:val="18"/>
        </w:rPr>
        <w:t>图4：好工程继续做，差工程收紧；门店和装修队按货盘、价格与配送规则逐步培育，而非一次性换掉客户群。</w:t>
      </w:r>
    </w:p>
    <w:p>
      <w:pPr>
        <w:pStyle w:val="BodyText"/>
        <w:spacing w:after="80" w:line="317" w:lineRule="auto"/>
        <w:ind w:firstLine="420"/>
      </w:pPr>
      <w:r>
        <w:rPr>
          <w:rFonts w:ascii="Microsoft YaHei" w:hAnsi="Microsoft YaHei" w:eastAsia="Microsoft YaHei"/>
          <w:sz w:val="21"/>
        </w:rPr>
        <w:t>团队也要跟着业务变。负责工程的销售习惯投标、报价和催尾款，服务门店则需要持续维护价格、库存与补货，装修队更看重现场响应和售后。不能要求同一业务员只追大项目提成，却又额外负责几十个小客户且业绩规则不变。可以按客户归属、订单净额、回款和服务贡献设计业绩口径，具体比例与费用归属提前确定；手机管理端供外勤跟进客户和订单，PC端由负责人核价格、授信与经营结果。</w:t>
      </w:r>
    </w:p>
    <w:p>
      <w:pPr>
        <w:pStyle w:val="Heading1"/>
        <w:keepNext/>
        <w:pageBreakBefore w:val="0"/>
        <w:spacing w:before="360" w:after="160"/>
      </w:pPr>
      <w:r>
        <w:rPr>
          <w:rFonts w:ascii="Microsoft YaHei" w:hAnsi="Microsoft YaHei" w:eastAsia="Microsoft YaHei"/>
          <w:sz w:val="32"/>
        </w:rPr>
        <w:t>选择客户结构，实际是在选择企业未来的现金与组织形态</w:t>
      </w:r>
    </w:p>
    <w:p>
      <w:pPr>
        <w:pStyle w:val="BodyText"/>
        <w:spacing w:after="80" w:line="317" w:lineRule="auto"/>
        <w:ind w:firstLine="420"/>
      </w:pPr>
      <w:r>
        <w:rPr>
          <w:rFonts w:ascii="Microsoft YaHei" w:hAnsi="Microsoft YaHei" w:eastAsia="Microsoft YaHei"/>
          <w:sz w:val="21"/>
        </w:rPr>
        <w:t>工程项目让企业快速放大销售额，也考验报价、项目交付和尾款管理；门店与装修队带来更分散的订单，需要可维护的货盘、线上复购和密集配送。企业无须先预言市场何时恢复，而应每月用自己的订单、服务成本、库存与到账数据回答：哪些项目真正值得占用现金，哪些门店形成稳定复购，哪些装修队只是把运费换成了销售额。当好工程与可复制的小客户同时有明晰的价格、交付和回款规则，经营就不再依赖单一大客户或等待环境变化。云上订货承接的是这些可比较的客户与交易事实，最终的资源取舍仍由企业按真实净贡献和现金安全线决定。</w:t>
      </w:r>
    </w:p>
    <w:sectPr w:rsidR="00FC693F" w:rsidRPr="0006063C" w:rsidSect="00034616">
      <w:headerReference w:type="default" r:id="rId9"/>
      <w:footerReference w:type="default" r:id="rId10"/>
      <w:pgSz w:w="11906" w:h="16838"/>
      <w:pgMar w:top="765" w:right="1247" w:bottom="76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SC-000756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建材装饰企业应该主攻工程项目大客户，还是经营门店和装修队中小客户｜云上订货系统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