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装饰工程分批要货、延期验收并保留尾款，企业怎样判断项目真实利润和资金占用｜云上订货系统</w:t>
      </w:r>
    </w:p>
    <w:p>
      <w:pPr>
        <w:pStyle w:val="BodyText"/>
        <w:spacing w:after="80" w:line="317" w:lineRule="auto"/>
        <w:ind w:firstLine="420"/>
      </w:pPr>
      <w:r>
        <w:rPr>
          <w:rFonts w:ascii="Microsoft YaHei" w:hAnsi="Microsoft YaHei" w:eastAsia="Microsoft YaHei"/>
          <w:sz w:val="21"/>
        </w:rPr>
        <w:t>一家装饰材料批发商签下二百万元的墙板供货合同。客户按施工进度分批要货，第三批临时改了厚度，原规格已经向供方付款；工地收货人签了数量，项目经理却说要等整层安装完成才验收；合同还约定最后一部分款在后续结算。销售把合同额乘预计毛利率，认为项目很好。老板需要看到的则是五个不同金额：已签合同、已下单、已送达、已验收和已到账。再把变更、退补、分批配送和尾款占用加进去，才能回答这单到底赚了多少、还要压多少现金。</w:t>
      </w:r>
    </w:p>
    <w:p>
      <w:pPr>
        <w:pStyle w:val="Heading1"/>
        <w:keepNext/>
        <w:pageBreakBefore w:val="0"/>
        <w:spacing w:before="360" w:after="160"/>
      </w:pPr>
      <w:r>
        <w:rPr>
          <w:rFonts w:ascii="Microsoft YaHei" w:hAnsi="Microsoft YaHei" w:eastAsia="Microsoft YaHei"/>
          <w:sz w:val="32"/>
        </w:rPr>
        <w:t>工程项目先拆五个状态，不用合同总额冒充利润</w:t>
      </w:r>
    </w:p>
    <w:p>
      <w:pPr>
        <w:pStyle w:val="BodyText"/>
        <w:spacing w:after="80" w:line="317" w:lineRule="auto"/>
        <w:ind w:firstLine="420"/>
      </w:pPr>
      <w:r>
        <w:rPr>
          <w:rFonts w:ascii="Microsoft YaHei" w:hAnsi="Microsoft YaHei" w:eastAsia="Microsoft YaHei"/>
          <w:sz w:val="21"/>
        </w:rPr>
        <w:t>以虚拟进度为例：合同清单二百万元，客户已下单一百五十万元，企业已送到工地一百三十万元，其中双方确认验收一百二十万元，银行实际到账九十万元。这五个数字都正确，却回答不同问题。合同额说明未来可能的业务范围，已下单金额指导采购备货，已送达金额涉及库存转出与签收，已验收金额用于核双方认可的结算基础，到账金额才是真正回来的现金。还有十万元已送未验，不能只因仓库完成出库就并入无争议应收；未下单的五十万元也不能先按订单毛利入账。</w:t>
      </w:r>
    </w:p>
    <w:p>
      <w:pPr>
        <w:keepNext/>
        <w:jc w:val="center"/>
      </w:pPr>
      <w:r>
        <w:drawing>
          <wp:inline xmlns:a="http://schemas.openxmlformats.org/drawingml/2006/main" xmlns:pic="http://schemas.openxmlformats.org/drawingml/2006/picture">
            <wp:extent cx="5440680" cy="3060382"/>
            <wp:docPr id="1" name="Picture 1" descr="装饰工程合同额已下单已送达已验收和实际到账五种金额状态的关系" title="装饰工程合同额已下单已送达已验收和实际到账五种金额状态的关系"/>
            <wp:cNvGraphicFramePr>
              <a:graphicFrameLocks noChangeAspect="1"/>
            </wp:cNvGraphicFramePr>
            <a:graphic>
              <a:graphicData uri="http://schemas.openxmlformats.org/drawingml/2006/picture">
                <pic:pic>
                  <pic:nvPicPr>
                    <pic:cNvPr id="0" name="工程项目五个金额状态.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图1：同一项目的各项金额不可互相代替，管理者应能逐批反查凭证。</w:t>
      </w:r>
    </w:p>
    <w:p>
      <w:pPr>
        <w:pStyle w:val="BodyText"/>
        <w:spacing w:after="80" w:line="317" w:lineRule="auto"/>
        <w:ind w:firstLine="420"/>
      </w:pPr>
      <w:r>
        <w:rPr>
          <w:rFonts w:ascii="Microsoft YaHei" w:hAnsi="Microsoft YaHei" w:eastAsia="Microsoft YaHei"/>
          <w:sz w:val="21"/>
        </w:rPr>
        <w:t>分批要货通常受施工进度而不是供方备货速度决定。客户本周要墙板、下周才要胶和收边条，企业若按合同总清单一次性备齐，会把现金变成库存；但供方特殊规格需要生产周期，若完全不备，又可能延误工地节点。因此每个SKU至少区分常备可转卖、按项目专用、需加工定制三类，分别设采购触发条件。对专用品要拿到客户确认的规格、数量与变更办法后再向上游承诺大批量采购，不能只凭业务员微信说“项目一定会用”。</w:t>
      </w:r>
    </w:p>
    <w:p>
      <w:pPr>
        <w:pStyle w:val="Heading1"/>
        <w:keepNext/>
        <w:pageBreakBefore w:val="0"/>
        <w:spacing w:before="360" w:after="160"/>
      </w:pPr>
      <w:r>
        <w:rPr>
          <w:rFonts w:ascii="Microsoft YaHei" w:hAnsi="Microsoft YaHei" w:eastAsia="Microsoft YaHei"/>
          <w:sz w:val="32"/>
        </w:rPr>
        <w:t>现场变更会同时改写采购成本、交期和可收款</w:t>
      </w:r>
    </w:p>
    <w:p>
      <w:pPr>
        <w:pStyle w:val="BodyText"/>
        <w:spacing w:after="80" w:line="317" w:lineRule="auto"/>
        <w:ind w:firstLine="420"/>
      </w:pPr>
      <w:r>
        <w:rPr>
          <w:rFonts w:ascii="Microsoft YaHei" w:hAnsi="Microsoft YaHei" w:eastAsia="Microsoft YaHei"/>
          <w:sz w:val="21"/>
        </w:rPr>
        <w:t>第三批板材原定一种厚度，施工方临时改厚。销售要先核谁有权提出变更、需要什么图纸或书面确认、原规格能否退供方或转卖、新规格的采购价与交期，再给客户新的报价和到货承诺。若先发新货、旧货又无法退，项目毛利会被两批采购吃掉；若仓库为“账平”把原单商品直接改成新规格，后来客户、供方和仓库的数量会对不上。正确做法是保留原订单、原出库与原签收，新增变更记录关联原项目和批次，分别记录退货、替代品、补送与价差。</w:t>
      </w:r>
    </w:p>
    <w:p>
      <w:pPr>
        <w:keepNext/>
        <w:jc w:val="center"/>
      </w:pPr>
      <w:r>
        <w:drawing>
          <wp:inline xmlns:a="http://schemas.openxmlformats.org/drawingml/2006/main" xmlns:pic="http://schemas.openxmlformats.org/drawingml/2006/picture">
            <wp:extent cx="5440680" cy="3060382"/>
            <wp:docPr id="2" name="Picture 2" descr="装饰工程第三批改变规格后从客户确认采购退换仓配补送到财务结算的责任回路" title="装饰工程第三批改变规格后从客户确认采购退换仓配补送到财务结算的责任回路"/>
            <wp:cNvGraphicFramePr>
              <a:graphicFrameLocks noChangeAspect="1"/>
            </wp:cNvGraphicFramePr>
            <a:graphic>
              <a:graphicData uri="http://schemas.openxmlformats.org/drawingml/2006/picture">
                <pic:pic>
                  <pic:nvPicPr>
                    <pic:cNvPr id="0" name="分批变更退补责任回路.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图2：变更不是一个新订单就能抹平的差异，原批次成本与新批次价差都要追到责任和凭证。</w:t>
      </w:r>
    </w:p>
    <w:p>
      <w:pPr>
        <w:pStyle w:val="BodyText"/>
        <w:spacing w:after="80" w:line="317" w:lineRule="auto"/>
        <w:ind w:firstLine="420"/>
      </w:pPr>
      <w:r>
        <w:rPr>
          <w:rFonts w:ascii="Microsoft YaHei" w:hAnsi="Microsoft YaHei" w:eastAsia="Microsoft YaHei"/>
          <w:sz w:val="21"/>
        </w:rPr>
        <w:t>延期验收则改变应收的时间。工地收货人签“收到一百箱”，可能只确认箱数，不等于项目经理认可型号、质量与安装结果。客户合同要求哪个岗位、在哪个阶段验收，企业要在签约前弄清。对于已送未验的批次，记录货物在哪、责任方是谁、预计何时检查、有哪些待解决异议；对已经认可的无争议部分，按合同推进对账与付款，别因某一批争议把全部款项无区分地挂住。销售不能把“客户口头说可以”当作财务已确认的付款依据。</w:t>
      </w:r>
    </w:p>
    <w:p>
      <w:pPr>
        <w:pStyle w:val="BodyText"/>
        <w:spacing w:after="80" w:line="317" w:lineRule="auto"/>
        <w:ind w:firstLine="420"/>
      </w:pPr>
      <w:r>
        <w:rPr>
          <w:rFonts w:ascii="Microsoft YaHei" w:hAnsi="Microsoft YaHei" w:eastAsia="Microsoft YaHei"/>
          <w:sz w:val="21"/>
        </w:rPr>
        <w:t>现场退补也会跨月。某批破损十片，客户要求重送，旧片退回可否再利用、供方是否赔付、补送用哪辆车，都影响项目贡献。企业应把每次退货、重新采购、二次配送和客户确认的最终数量落到原项目批次，不要在部门之间拆成互不关联的单据。结算时客户扣减、供方赔付和仓库损耗才能对上。</w:t>
      </w:r>
    </w:p>
    <w:p>
      <w:pPr>
        <w:pStyle w:val="Heading1"/>
        <w:keepNext/>
        <w:pageBreakBefore w:val="0"/>
        <w:spacing w:before="360" w:after="160"/>
      </w:pPr>
      <w:r>
        <w:rPr>
          <w:rFonts w:ascii="Microsoft YaHei" w:hAnsi="Microsoft YaHei" w:eastAsia="Microsoft YaHei"/>
          <w:sz w:val="32"/>
        </w:rPr>
        <w:t>利润核已验收部分，资金核采购付款到实际到账</w:t>
      </w:r>
    </w:p>
    <w:p>
      <w:pPr>
        <w:pStyle w:val="BodyText"/>
        <w:spacing w:after="80" w:line="317" w:lineRule="auto"/>
        <w:ind w:firstLine="420"/>
      </w:pPr>
      <w:r>
        <w:rPr>
          <w:rFonts w:ascii="Microsoft YaHei" w:hAnsi="Microsoft YaHei" w:eastAsia="Microsoft YaHei"/>
          <w:sz w:val="21"/>
        </w:rPr>
        <w:t>用虚拟已验收部分试算：双方确认的一百二十万元货，采购成本一百零二万元，商品毛利十八万元；常规分批配送与卸货四万元，改规格、退补和重送再花三万元，服务后贡献十一万元，未扣总部管理分摊。尚有十万元已送未验，未来若确认可收再纳入对应周期；若客户提出扣款，应核具体原因。最后部分尾款未到，不必直接认定为损失，但要把这笔应收何时应到、要占用多少现金和回收风险单独列出，不能在利润表里仿佛钱已经回到企业。</w:t>
      </w:r>
    </w:p>
    <w:p>
      <w:pPr>
        <w:keepNext/>
        <w:jc w:val="center"/>
      </w:pPr>
      <w:r>
        <w:drawing>
          <wp:inline xmlns:a="http://schemas.openxmlformats.org/drawingml/2006/main" xmlns:pic="http://schemas.openxmlformats.org/drawingml/2006/picture">
            <wp:extent cx="5440680" cy="3060382"/>
            <wp:docPr id="3" name="Picture 3" descr="装饰工程已验收一百二十万元部分扣采购分批配送和变更退补后贡献与实际到账比较" title="装饰工程已验收一百二十万元部分扣采购分批配送和变更退补后贡献与实际到账比较"/>
            <wp:cNvGraphicFramePr>
              <a:graphicFrameLocks noChangeAspect="1"/>
            </wp:cNvGraphicFramePr>
            <a:graphic>
              <a:graphicData uri="http://schemas.openxmlformats.org/drawingml/2006/picture">
                <pic:pic>
                  <pic:nvPicPr>
                    <pic:cNvPr id="0" name="工程真实贡献测算.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图3：虚拟算例商品毛利十八万元，经履约和变更后剩十一万元；实际到账只有九十万元，现金状态另核。</w:t>
      </w:r>
    </w:p>
    <w:p>
      <w:pPr>
        <w:pStyle w:val="BodyText"/>
        <w:spacing w:after="80" w:line="317" w:lineRule="auto"/>
        <w:ind w:firstLine="420"/>
      </w:pPr>
      <w:r>
        <w:rPr>
          <w:rFonts w:ascii="Microsoft YaHei" w:hAnsi="Microsoft YaHei" w:eastAsia="Microsoft YaHei"/>
          <w:sz w:val="21"/>
        </w:rPr>
        <w:t>最容易漏的成本有四项：项目专用品预先采购后的滞销、临时小批量送货增加的车辆和卸货、客户变更造成的新旧规格价差、为等尾款持续占用的资金。也别重复扣同一项损失。采购成本若已包含不能退的旧货，不应再把旧货全额作为“变更损耗”扣第二次；客户扣款若已从收入冲减，不应再另记一笔相同的赔偿。财务、采购与仓配每月用项目编号逐单核，明确估算与已发生的区别，让老板看到当前可确认的贡献、待决差异和预计最紧的付款周。</w:t>
      </w:r>
    </w:p>
    <w:p>
      <w:pPr>
        <w:pStyle w:val="BodyText"/>
        <w:spacing w:after="80" w:line="317" w:lineRule="auto"/>
        <w:ind w:firstLine="420"/>
      </w:pPr>
      <w:r>
        <w:rPr>
          <w:rFonts w:ascii="Microsoft YaHei" w:hAnsi="Microsoft YaHei" w:eastAsia="Microsoft YaHei"/>
          <w:sz w:val="21"/>
        </w:rPr>
        <w:t>现金流按项目批次做更有用。供方可能在备货时收预付款，客户按签收、验收或阶段结算付款，尾款直到后续条件达到才付。把每一次采购付款、库存占用、送货、结算认可和银行到账排在时间线上，叠加其他项目的采购与工资，就能知道项目同时开三个时是否超出可用资金。某个项目账面贡献高，不代表企业能承受几个同类项目一起压尾款。</w:t>
      </w:r>
    </w:p>
    <w:p>
      <w:pPr>
        <w:pStyle w:val="Heading1"/>
        <w:keepNext/>
        <w:pageBreakBefore w:val="0"/>
        <w:spacing w:before="360" w:after="160"/>
      </w:pPr>
      <w:r>
        <w:rPr>
          <w:rFonts w:ascii="Microsoft YaHei" w:hAnsi="Microsoft YaHei" w:eastAsia="Microsoft YaHei"/>
          <w:sz w:val="32"/>
        </w:rPr>
        <w:t>在云上订货中沿项目、批次和原订单留下执行线索</w:t>
      </w:r>
    </w:p>
    <w:p>
      <w:pPr>
        <w:pStyle w:val="BodyText"/>
        <w:spacing w:after="80" w:line="317" w:lineRule="auto"/>
        <w:ind w:firstLine="420"/>
      </w:pPr>
      <w:r>
        <w:rPr>
          <w:rFonts w:ascii="Microsoft YaHei" w:hAnsi="Microsoft YaHei" w:eastAsia="Microsoft YaHei"/>
          <w:sz w:val="21"/>
        </w:rPr>
        <w:t>在PC管理端按客户和项目维护商品、报价与下单范围，客户按已确认清单分批要货；客户侧优先手机商城查询授权商品和订单，特殊规格变更由双方负责人确认后再调整。仓库依据当前批次出库，不用未来整份合同额占用所有库存；每次送工地都要记录发数、实收、签收人和未验差异。退补货关联原订单，采购向供方追退换，财务按认可的交付与结算结果核应收应付。手机管理端可让外勤查看自己负责的订单和现场异常，项目汇总、价格与账龄由总部在PC端核查。具体项目维度、审批、分批出库与外部验收流程需按当前租户能力和合同实际要求配置，不把系统发货状态等同客户最终验收。</w:t>
      </w:r>
    </w:p>
    <w:p>
      <w:pPr>
        <w:pStyle w:val="BodyText"/>
        <w:spacing w:after="80" w:line="317" w:lineRule="auto"/>
        <w:ind w:firstLine="420"/>
      </w:pPr>
      <w:r>
        <w:rPr>
          <w:rFonts w:ascii="Microsoft YaHei" w:hAnsi="Microsoft YaHei" w:eastAsia="Microsoft YaHei"/>
          <w:sz w:val="21"/>
        </w:rPr>
        <w:t>如客户通过电话或微信催第三批，销售代客下单时仍要选择项目、收货地点、规格、数量和交期，保留客户确认方式。工程一旦存在多个工地地址，把所有批次写在一个默认地址下，事后就无法核哪趟车送到哪、哪个现场退了货。发票与回款也要按真实结算关系核对；开具发票不意味着尾款已到账，客户汇款金额与单据不一致时需要先核已认可的批次和扣款原因，而不是按金额相近随意核销。</w:t>
      </w:r>
    </w:p>
    <w:p>
      <w:pPr>
        <w:pStyle w:val="BodyText"/>
        <w:spacing w:after="80" w:line="317" w:lineRule="auto"/>
        <w:ind w:firstLine="420"/>
      </w:pPr>
      <w:r>
        <w:rPr>
          <w:rFonts w:ascii="Microsoft YaHei" w:hAnsi="Microsoft YaHei" w:eastAsia="Microsoft YaHei"/>
          <w:sz w:val="21"/>
        </w:rPr>
        <w:t>先抽一个已在执行的项目做回查：至少一笔正常送货、一笔分批延期、一笔改规格退补。能否从合同清单到采购、出库、签收、变更确认、对账、收款逐项连起来？若部门需要翻聊天记录才能解释十万元已送未验，先补项目交接与数据规则，再用报表判断真实利润。系统的作用是保留同一事实链，不是替客户签证或替财务确认可收金额。</w:t>
      </w:r>
    </w:p>
    <w:p>
      <w:pPr>
        <w:pStyle w:val="Heading1"/>
        <w:keepNext/>
        <w:pageBreakBefore w:val="0"/>
        <w:spacing w:before="360" w:after="160"/>
      </w:pPr>
      <w:r>
        <w:rPr>
          <w:rFonts w:ascii="Microsoft YaHei" w:hAnsi="Microsoft YaHei" w:eastAsia="Microsoft YaHei"/>
          <w:sz w:val="32"/>
        </w:rPr>
        <w:t>每批追加要货前，重核交付、变更与现金边界</w:t>
      </w:r>
    </w:p>
    <w:p>
      <w:pPr>
        <w:pStyle w:val="BodyText"/>
        <w:spacing w:after="80" w:line="317" w:lineRule="auto"/>
        <w:ind w:firstLine="420"/>
      </w:pPr>
      <w:r>
        <w:rPr>
          <w:rFonts w:ascii="Microsoft YaHei" w:hAnsi="Microsoft YaHei" w:eastAsia="Microsoft YaHei"/>
          <w:sz w:val="21"/>
        </w:rPr>
        <w:t>项目总合同尚有额度，不意味着下一批任何规格都应立即采购。采购先核供方能否按新要求交、原料是否已付款；仓配核工地是否具备收货条件；财务核前几批签收、验收、对账与尾款。三项清楚且资金可承受，正常供货；图纸或规格变了，先取得价格和交期确认；项目整体仍有价值却资金紧，可在合同允许下分阶段备货；争议无法解释、占款突破企业安全线时，应由负责人协调原批次再决定新范围。已有合同义务仍应按约执行，不能把内部现金警报当作单方面不履约的理由。</w:t>
      </w:r>
    </w:p>
    <w:p>
      <w:pPr>
        <w:keepNext/>
        <w:jc w:val="center"/>
      </w:pPr>
      <w:r>
        <w:drawing>
          <wp:inline xmlns:a="http://schemas.openxmlformats.org/drawingml/2006/main" xmlns:pic="http://schemas.openxmlformats.org/drawingml/2006/picture">
            <wp:extent cx="5440680" cy="3060382"/>
            <wp:docPr id="4" name="Picture 4" descr="装饰工程每批追加要货前根据验收变更和现金占用决定正常供货确认变更控制批次或暂缓新增" title="装饰工程每批追加要货前根据验收变更和现金占用决定正常供货确认变更控制批次或暂缓新增"/>
            <wp:cNvGraphicFramePr>
              <a:graphicFrameLocks noChangeAspect="1"/>
            </wp:cNvGraphicFramePr>
            <a:graphic>
              <a:graphicData uri="http://schemas.openxmlformats.org/drawingml/2006/picture">
                <pic:pic>
                  <pic:nvPicPr>
                    <pic:cNvPr id="0" name="项目追加供货决策.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图4：下批供货决定应由真实项目状态支持，不只看合同上还有多少可下单金额。</w:t>
      </w:r>
    </w:p>
    <w:p>
      <w:pPr>
        <w:pStyle w:val="BodyText"/>
        <w:spacing w:after="80" w:line="317" w:lineRule="auto"/>
        <w:ind w:firstLine="420"/>
      </w:pPr>
      <w:r>
        <w:rPr>
          <w:rFonts w:ascii="Microsoft YaHei" w:hAnsi="Microsoft YaHei" w:eastAsia="Microsoft YaHei"/>
          <w:sz w:val="21"/>
        </w:rPr>
        <w:t>复盘时按批次统计：报价与实际采购差多少、分批送货花了几趟车、变更退补由谁承担、哪个环节让验收延期、已确认应收与实际到账差多少。若总项目看着赚钱，但每次设计变更都导致价格不能调整，或尾款不断扩大，下一份同类合同就应改清单确认、变更和付款条件。不能把同一类损失反复交给一线人员“自己想办法”。</w:t>
      </w:r>
    </w:p>
    <w:p>
      <w:pPr>
        <w:pStyle w:val="Heading1"/>
        <w:keepNext/>
        <w:pageBreakBefore w:val="0"/>
        <w:spacing w:before="360" w:after="160"/>
      </w:pPr>
      <w:r>
        <w:rPr>
          <w:rFonts w:ascii="Microsoft YaHei" w:hAnsi="Microsoft YaHei" w:eastAsia="Microsoft YaHei"/>
          <w:sz w:val="32"/>
        </w:rPr>
        <w:t>项目管理的底线，是每一批货都能解释利润与资金去向</w:t>
      </w:r>
    </w:p>
    <w:p>
      <w:pPr>
        <w:pStyle w:val="BodyText"/>
        <w:spacing w:after="80" w:line="317" w:lineRule="auto"/>
        <w:ind w:firstLine="420"/>
      </w:pPr>
      <w:r>
        <w:rPr>
          <w:rFonts w:ascii="Microsoft YaHei" w:hAnsi="Microsoft YaHei" w:eastAsia="Microsoft YaHei"/>
          <w:sz w:val="21"/>
        </w:rPr>
        <w:t>装饰工程大单不是不能做，而是要把合同承诺拆到每一批真正要货、送货、验收和付款。老板每月应能回答：已验收的一百二十万元扣掉采购与退补后赚多少，未验收的十万元为什么悬着，尾款预计何时可收，下批备货又要先付多少。云上订货可把客户报价、分批订单、采购、库存出库、签收、退补、应收与回款接在一起；合同变更责任和验收认可仍需企业与客户依据实际凭证确认。当项目的收入、成本、异常和现金都能从原单追溯，企业才有底气决定哪些项目继续承接，哪些必须先谈清付款和变更条件。</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装饰工程分批要货、延期验收并保留尾款，企业怎样判断项目真实利润和资金占用｜云上订货系统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