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区域伙伴负责测量和现场服务、总部负责供货结算，项目客户的责任和收益怎样划分｜云上订货系统</w:t>
      </w:r>
    </w:p>
    <w:p>
      <w:pPr>
        <w:pStyle w:val="BodyText"/>
        <w:spacing w:after="80" w:line="317" w:lineRule="auto"/>
        <w:ind w:firstLine="420"/>
      </w:pPr>
      <w:r>
        <w:rPr>
          <w:rFonts w:ascii="Microsoft YaHei" w:hAnsi="Microsoft YaHei" w:eastAsia="Microsoft YaHei"/>
          <w:sz w:val="21"/>
        </w:rPr>
        <w:t>一家家居软装企业让区域伙伴接触装修公司和业主：伙伴上门量窗、选布料、解释方案，订单由总部向工厂采购并收客户货款。项目做大后，常出现两种争议：伙伴说自己做了大量售前工作，应按合同总额分成；总部说材料、生产、库存、客户欠款都由自己承担，应该按到账后的利润算。若窗帘尺寸做错或墙板安装返工，双方又会争谁负责。要让区域合作可复制，须先把测量、报价、客户确认、供货、现场验收和结算拆开，再用同一笔项目事实决定收益与损失归属。</w:t>
      </w:r>
    </w:p>
    <w:p>
      <w:pPr>
        <w:pStyle w:val="Heading1"/>
        <w:keepNext/>
        <w:pageBreakBefore w:val="0"/>
        <w:spacing w:before="360" w:after="160"/>
      </w:pPr>
      <w:r>
        <w:rPr>
          <w:rFonts w:ascii="Microsoft YaHei" w:hAnsi="Microsoft YaHei" w:eastAsia="Microsoft YaHei"/>
          <w:sz w:val="32"/>
        </w:rPr>
        <w:t>把伙伴、总部与客户三方的承诺边界写在报价之前</w:t>
      </w:r>
    </w:p>
    <w:p>
      <w:pPr>
        <w:pStyle w:val="BodyText"/>
        <w:spacing w:after="80" w:line="317" w:lineRule="auto"/>
        <w:ind w:firstLine="420"/>
      </w:pPr>
      <w:r>
        <w:rPr>
          <w:rFonts w:ascii="Microsoft YaHei" w:hAnsi="Microsoft YaHei" w:eastAsia="Microsoft YaHei"/>
          <w:sz w:val="21"/>
        </w:rPr>
        <w:t>区域伙伴擅长本地获客和现场服务，知道窗户异形、墙面不平、安装条件与客户偏好；总部掌握商品模板、供应链、价格政策、采购付款及财务结算。客户则负责确认材质、颜色、尺寸、图纸、交期和最终验收。责任不能按“谁先接到电话”来分，而应按谁控制了信息和决策来定：测量数据由谁记录和复核，定制参数由谁输入，最终报价谁批准，客户付款给谁，谁承诺安装与返修。</w:t>
      </w:r>
    </w:p>
    <w:p>
      <w:pPr>
        <w:keepNext/>
        <w:jc w:val="center"/>
      </w:pPr>
      <w:r>
        <w:drawing>
          <wp:inline xmlns:a="http://schemas.openxmlformats.org/drawingml/2006/main" xmlns:pic="http://schemas.openxmlformats.org/drawingml/2006/picture">
            <wp:extent cx="5440680" cy="3060382"/>
            <wp:docPr id="1" name="Picture 1" descr="家居软装定制项目中区域伙伴总部和客户在测量报价供货与结算上的责任边界" title="家居软装定制项目中区域伙伴总部和客户在测量报价供货与结算上的责任边界"/>
            <wp:cNvGraphicFramePr>
              <a:graphicFrameLocks noChangeAspect="1"/>
            </wp:cNvGraphicFramePr>
            <a:graphic>
              <a:graphicData uri="http://schemas.openxmlformats.org/drawingml/2006/picture">
                <pic:pic>
                  <pic:nvPicPr>
                    <pic:cNvPr id="0" name="伙伴总部客户责任边界.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图1：本地服务和总部供货共同形成成交，双方可承诺的范围应与实际权限一致。</w:t>
      </w:r>
    </w:p>
    <w:p>
      <w:pPr>
        <w:pStyle w:val="BodyText"/>
        <w:spacing w:after="80" w:line="317" w:lineRule="auto"/>
        <w:ind w:firstLine="420"/>
      </w:pPr>
      <w:r>
        <w:rPr>
          <w:rFonts w:ascii="Microsoft YaHei" w:hAnsi="Microsoft YaHei" w:eastAsia="Microsoft YaHei"/>
          <w:sz w:val="21"/>
        </w:rPr>
        <w:t>以一套窗帘为例，伙伴到现场量出窗宽和高度，还要记录轨道、窗台、空调出风口、是否需要遮光以及安装时间。只把“宽三米、高两米”发到群里，后续生产失败时无法知道是测量遗漏、客户临时改方案还是工厂做错。总部若负责按参数自动报价，就要说明公式包含哪些材料、工艺、损耗、安装和运输，不允许伙伴在客户面前私自承诺“不加钱加急”。反过来，客户付款条件由总部批准，不能把全部应收风险转嫁给无权批账期的伙伴。</w:t>
      </w:r>
    </w:p>
    <w:p>
      <w:pPr>
        <w:pStyle w:val="BodyText"/>
        <w:spacing w:after="80" w:line="317" w:lineRule="auto"/>
        <w:ind w:firstLine="420"/>
      </w:pPr>
      <w:r>
        <w:rPr>
          <w:rFonts w:ascii="Microsoft YaHei" w:hAnsi="Microsoft YaHei" w:eastAsia="Microsoft YaHei"/>
          <w:sz w:val="21"/>
        </w:rPr>
        <w:t>项目客户与零售客户也不同。装修公司可能一批签多个工地，要求分批送货和统一结算；业主可能要求看样并支付定金，完工再付尾款。企业可使用同一套定制商品模板，但必须按项目、工地或收货点保留客户确认与付款约定。合作协议应单独写清客户归属、伙伴服务范围、收益基数、何时支付、后续退货和返工如何调整，而不是只写一个分成比例。</w:t>
      </w:r>
    </w:p>
    <w:p>
      <w:pPr>
        <w:pStyle w:val="Heading1"/>
        <w:keepNext/>
        <w:pageBreakBefore w:val="0"/>
        <w:spacing w:before="360" w:after="160"/>
      </w:pPr>
      <w:r>
        <w:rPr>
          <w:rFonts w:ascii="Microsoft YaHei" w:hAnsi="Microsoft YaHei" w:eastAsia="Microsoft YaHei"/>
          <w:sz w:val="32"/>
        </w:rPr>
        <w:t>定制订单的每一次交接，都需要下一岗位可使用的资料</w:t>
      </w:r>
    </w:p>
    <w:p>
      <w:pPr>
        <w:pStyle w:val="BodyText"/>
        <w:spacing w:after="80" w:line="317" w:lineRule="auto"/>
        <w:ind w:firstLine="420"/>
      </w:pPr>
      <w:r>
        <w:rPr>
          <w:rFonts w:ascii="Microsoft YaHei" w:hAnsi="Microsoft YaHei" w:eastAsia="Microsoft YaHei"/>
          <w:sz w:val="21"/>
        </w:rPr>
        <w:t>完整链路可以按六步走。伙伴测量并提交尺寸、材质、安装条件与现场图片；总部依据定制产品参数和报价规则核商品清单、加工工费、运费与安装费；客户确认图纸、样板、价格、付款和交期；采购或工厂按已确认参数排产；物流与现场人员按批次送货安装；客户验收后财务对账与核实际回款。每一步不是“页面保存成功”就结束，下一岗位要能从原资料知道自己该做什么、发现差异回哪里找责任人。</w:t>
      </w:r>
    </w:p>
    <w:p>
      <w:pPr>
        <w:keepNext/>
        <w:jc w:val="center"/>
      </w:pPr>
      <w:r>
        <w:drawing>
          <wp:inline xmlns:a="http://schemas.openxmlformats.org/drawingml/2006/main" xmlns:pic="http://schemas.openxmlformats.org/drawingml/2006/picture">
            <wp:extent cx="5440680" cy="3060382"/>
            <wp:docPr id="2" name="Picture 2" descr="窗帘墙板定制订单从上门测量方案报价客户确认生产供货安装验收到对账回款的六步证据链" title="窗帘墙板定制订单从上门测量方案报价客户确认生产供货安装验收到对账回款的六步证据链"/>
            <wp:cNvGraphicFramePr>
              <a:graphicFrameLocks noChangeAspect="1"/>
            </wp:cNvGraphicFramePr>
            <a:graphic>
              <a:graphicData uri="http://schemas.openxmlformats.org/drawingml/2006/picture">
                <pic:pic>
                  <pic:nvPicPr>
                    <pic:cNvPr id="0" name="定制订单六步证据.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图2：测量、客户确认和生产参数不应混成同一张表；每次改变都要留下版本和确认依据。</w:t>
      </w:r>
    </w:p>
    <w:p>
      <w:pPr>
        <w:pStyle w:val="BodyText"/>
        <w:spacing w:after="80" w:line="317" w:lineRule="auto"/>
        <w:ind w:firstLine="420"/>
      </w:pPr>
      <w:r>
        <w:rPr>
          <w:rFonts w:ascii="Microsoft YaHei" w:hAnsi="Microsoft YaHei" w:eastAsia="Microsoft YaHei"/>
          <w:sz w:val="21"/>
        </w:rPr>
        <w:t>例如客户在报价后把普通布换成阻燃布，伙伴不能只改聊天中的单价，必须由总部核材料是否可供、报价是否变化、原布是否已采购，随后让客户确认新的参数与交期。若生产已启动，还要说明不能退的材料由谁承担。现场安装发现尺寸不合时，将测量原稿、客户确认图、系统订单参数、工厂成品尺寸和安装环境按顺序比对。若只是写“本单售后返工”，既无法改进质量，也无法公平分摊损失。</w:t>
      </w:r>
    </w:p>
    <w:p>
      <w:pPr>
        <w:pStyle w:val="BodyText"/>
        <w:spacing w:after="80" w:line="317" w:lineRule="auto"/>
        <w:ind w:firstLine="420"/>
      </w:pPr>
      <w:r>
        <w:rPr>
          <w:rFonts w:ascii="Microsoft YaHei" w:hAnsi="Microsoft YaHei" w:eastAsia="Microsoft YaHei"/>
          <w:sz w:val="21"/>
        </w:rPr>
        <w:t>资料规范不必一上来十分复杂。可先规定每个项目有唯一编号、每处安装位置有名称、每张图纸有确认日期；尺寸、材质、工艺、数量、价格和预期交期的改动都跟版本走。对于多处墙板或窗帘，不能把一个项目总价当作所有明细，尤其当客户只验收一部分或一部分需要返工时，明细决定可结算金额和伙伴收益。</w:t>
      </w:r>
    </w:p>
    <w:p>
      <w:pPr>
        <w:pStyle w:val="Heading1"/>
        <w:keepNext/>
        <w:pageBreakBefore w:val="0"/>
        <w:spacing w:before="360" w:after="160"/>
      </w:pPr>
      <w:r>
        <w:rPr>
          <w:rFonts w:ascii="Microsoft YaHei" w:hAnsi="Microsoft YaHei" w:eastAsia="Microsoft YaHei"/>
          <w:sz w:val="32"/>
        </w:rPr>
        <w:t>分润先核项目净贡献，再核谁造成了异常</w:t>
      </w:r>
    </w:p>
    <w:p>
      <w:pPr>
        <w:pStyle w:val="BodyText"/>
        <w:spacing w:after="80" w:line="317" w:lineRule="auto"/>
        <w:ind w:firstLine="420"/>
      </w:pPr>
      <w:r>
        <w:rPr>
          <w:rFonts w:ascii="Microsoft YaHei" w:hAnsi="Microsoft YaHei" w:eastAsia="Microsoft YaHei"/>
          <w:sz w:val="21"/>
        </w:rPr>
        <w:t>用虚拟项目说明方法：客户确认并实际支付二十万元，材料和加工十二万元，物流安装两万元，发生返工零点八万元，服务后项目贡献五点二万元，尚未扣总部管理费用。伙伴究竟拿多少，不应由系统自动臆定。双方应先约定贡献基数是已确认订单额、商品毛利，还是扣配送安装、退补及坏账后的净贡献；再约定什么时候先记服务业绩、什么时候形成可支付收益。仅按合同总额提成，可能鼓励伙伴低价承诺；仅等全部尾款到齐才承认伙伴工作，又可能让他承担总部流程造成的延期。</w:t>
      </w:r>
    </w:p>
    <w:p>
      <w:pPr>
        <w:keepNext/>
        <w:jc w:val="center"/>
      </w:pPr>
      <w:r>
        <w:drawing>
          <wp:inline xmlns:a="http://schemas.openxmlformats.org/drawingml/2006/main" xmlns:pic="http://schemas.openxmlformats.org/drawingml/2006/picture">
            <wp:extent cx="5440680" cy="3060382"/>
            <wp:docPr id="3" name="Picture 3" descr="定制窗帘项目客户实收二十万元扣材料加工物流安装与返工后形成可约定分润基数的试算" title="定制窗帘项目客户实收二十万元扣材料加工物流安装与返工后形成可约定分润基数的试算"/>
            <wp:cNvGraphicFramePr>
              <a:graphicFrameLocks noChangeAspect="1"/>
            </wp:cNvGraphicFramePr>
            <a:graphic>
              <a:graphicData uri="http://schemas.openxmlformats.org/drawingml/2006/picture">
                <pic:pic>
                  <pic:nvPicPr>
                    <pic:cNvPr id="0" name="项目贡献分润试算.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图3：数字只是分配方法示意；比例、费用归属和收款条件应由合作协议预先确定。</w:t>
      </w:r>
    </w:p>
    <w:p>
      <w:pPr>
        <w:pStyle w:val="BodyText"/>
        <w:spacing w:after="80" w:line="317" w:lineRule="auto"/>
        <w:ind w:firstLine="420"/>
      </w:pPr>
      <w:r>
        <w:rPr>
          <w:rFonts w:ascii="Microsoft YaHei" w:hAnsi="Microsoft YaHei" w:eastAsia="Microsoft YaHei"/>
          <w:sz w:val="21"/>
        </w:rPr>
        <w:t>返工成本必须按原因归属。测量漏了窗台尺寸、伙伴又确认过图纸，责任可能在现场资料；系统订单正确而工厂把面料做错，责任在生产供货；客户签认后临时要求换色，则需就变更重新报价。一个项目可以同时有两个原因，不能把全部损失平均分摊。按原订单和变更凭证核清后，再调整对应伙伴贡献、供方应付或客户追加金额，防止月底只剩一笔“项目亏了”的总数字。</w:t>
      </w:r>
    </w:p>
    <w:p>
      <w:pPr>
        <w:pStyle w:val="BodyText"/>
        <w:spacing w:after="80" w:line="317" w:lineRule="auto"/>
        <w:ind w:firstLine="420"/>
      </w:pPr>
      <w:r>
        <w:rPr>
          <w:rFonts w:ascii="Microsoft YaHei" w:hAnsi="Microsoft YaHei" w:eastAsia="Microsoft YaHei"/>
          <w:sz w:val="21"/>
        </w:rPr>
        <w:t>应收责任同理。总部批准项目客户月结并收款，伙伴只负责催客户确认尺寸和验收，他不应对总部自行延长的账期承担全部坏账；如果伙伴未经批准承诺先发货后付款，应按协议记录审批例外及追责。利润分享与信用风险分担不一定同比例，关键是每方能控制什么行为、能看到什么信息、何时有权暂停新项目。合作关系不能只在项目赚钱时有效，退货、返工和欠款的处理机制更需要在合作前写清。</w:t>
      </w:r>
    </w:p>
    <w:p>
      <w:pPr>
        <w:pStyle w:val="Heading1"/>
        <w:keepNext/>
        <w:pageBreakBefore w:val="0"/>
        <w:spacing w:before="360" w:after="160"/>
      </w:pPr>
      <w:r>
        <w:rPr>
          <w:rFonts w:ascii="Microsoft YaHei" w:hAnsi="Microsoft YaHei" w:eastAsia="Microsoft YaHei"/>
          <w:sz w:val="32"/>
        </w:rPr>
        <w:t>云上订货承接客户、定制参数、订单与现场结果</w:t>
      </w:r>
    </w:p>
    <w:p>
      <w:pPr>
        <w:pStyle w:val="BodyText"/>
        <w:spacing w:after="80" w:line="317" w:lineRule="auto"/>
        <w:ind w:firstLine="420"/>
      </w:pPr>
      <w:r>
        <w:rPr>
          <w:rFonts w:ascii="Microsoft YaHei" w:hAnsi="Microsoft YaHei" w:eastAsia="Microsoft YaHei"/>
          <w:sz w:val="21"/>
        </w:rPr>
        <w:t>在PC管理端维护定制商品模板、可选参数、价格和客户规则，伙伴根据测量资料提交项目需求，由有权限的人核报价并形成销售订单。系统代码中的定制商品选配支持参数、来源与公式等字段进入订单明细；但图纸、现场条件与安装责任仍要按实际业务留附件和确认记录，不能认为选了参数就证明客户认可所有施工细节。客户侧如适用，可通过手机商城查看授权商品、价格与订单；复杂定制项目通常还要双方确认清单和图纸。手机管理端用于伙伴跟进客户与订单，PC端由总部核商品、采购、发货、价格和财务结算。具体模板、移动端入口与审批能力应以当前租户实际功能为准。</w:t>
      </w:r>
    </w:p>
    <w:p>
      <w:pPr>
        <w:pStyle w:val="BodyText"/>
        <w:spacing w:after="80" w:line="317" w:lineRule="auto"/>
        <w:ind w:firstLine="420"/>
      </w:pPr>
      <w:r>
        <w:rPr>
          <w:rFonts w:ascii="Microsoft YaHei" w:hAnsi="Microsoft YaHei" w:eastAsia="Microsoft YaHei"/>
          <w:sz w:val="21"/>
        </w:rPr>
        <w:t>总部采购或排产应使用客户已经确认的参数版本，生产后分批出库、发货并记录实收。安装和返工若在系统外由第三方完成，也要把结果回填到原项目订单的售后或备注依据，不让项目状态只停在“已发货”。财务对客户实收、退补、尾款和供方费用核对，再按协议计算伙伴服务贡献。若企业采用联营商家或供应商负责交货，应另核真实交易、收款和售后主体，不把两种商业关系混作一套分润规则。</w:t>
      </w:r>
    </w:p>
    <w:p>
      <w:pPr>
        <w:pStyle w:val="BodyText"/>
        <w:spacing w:after="80" w:line="317" w:lineRule="auto"/>
        <w:ind w:firstLine="420"/>
      </w:pPr>
      <w:r>
        <w:rPr>
          <w:rFonts w:ascii="Microsoft YaHei" w:hAnsi="Microsoft YaHei" w:eastAsia="Microsoft YaHei"/>
          <w:sz w:val="21"/>
        </w:rPr>
        <w:t>试点不必覆盖所有区域。选两名伙伴、各做一个正常项目和一个异常项目：正常项目从测量到客户确认、生产、安装、回款全链验证；异常项目刻意覆盖尺寸变更、错料或延期。核伙伴在手机端能否看到自己负责的进度、总部能否追到报价和成本版本、财务能否按实际到账与返工结果算出可支付收益。若需要靠微信群翻半天才知道参数是谁改的，就应先完善记录和权限，再扩大量。</w:t>
      </w:r>
    </w:p>
    <w:p>
      <w:pPr>
        <w:pStyle w:val="Heading1"/>
        <w:keepNext/>
        <w:pageBreakBefore w:val="0"/>
        <w:spacing w:before="360" w:after="160"/>
      </w:pPr>
      <w:r>
        <w:rPr>
          <w:rFonts w:ascii="Microsoft YaHei" w:hAnsi="Microsoft YaHei" w:eastAsia="Microsoft YaHei"/>
          <w:sz w:val="32"/>
        </w:rPr>
        <w:t>用原始证据判断返工、尾款与收益，而非事后争比例</w:t>
      </w:r>
    </w:p>
    <w:p>
      <w:pPr>
        <w:pStyle w:val="BodyText"/>
        <w:spacing w:after="80" w:line="317" w:lineRule="auto"/>
        <w:ind w:firstLine="420"/>
      </w:pPr>
      <w:r>
        <w:rPr>
          <w:rFonts w:ascii="Microsoft YaHei" w:hAnsi="Microsoft YaHei" w:eastAsia="Microsoft YaHei"/>
          <w:sz w:val="21"/>
        </w:rPr>
        <w:t>一笔项目最终发生“窗帘短十厘米、客户暂扣尾款”，先看测量原始记录和现场限制；再看客户确认版图纸、订单参数、工厂生产尺寸和安装过程。如果原始测量正确、生产做短，返工费用不应因为伙伴离客户近就扣他的收益；如果伙伴填错且总部未复核，双方可按事先约定的复核责任核分担；如果客户改了设计而没有确认价差，就应先与客户补齐变更依据。尾款未到并不自动说明伙伴没有完成服务，服务业绩与可支付收益可以分阶段记录。</w:t>
      </w:r>
    </w:p>
    <w:p>
      <w:pPr>
        <w:keepNext/>
        <w:jc w:val="center"/>
      </w:pPr>
      <w:r>
        <w:drawing>
          <wp:inline xmlns:a="http://schemas.openxmlformats.org/drawingml/2006/main" xmlns:pic="http://schemas.openxmlformats.org/drawingml/2006/picture">
            <wp:extent cx="5440680" cy="3060382"/>
            <wp:docPr id="4" name="Picture 4" descr="定制项目发生尺寸不合延期或客户扣款时按测量生产现场变更与付款原因追溯责任" title="定制项目发生尺寸不合延期或客户扣款时按测量生产现场变更与付款原因追溯责任"/>
            <wp:cNvGraphicFramePr>
              <a:graphicFrameLocks noChangeAspect="1"/>
            </wp:cNvGraphicFramePr>
            <a:graphic>
              <a:graphicData uri="http://schemas.openxmlformats.org/drawingml/2006/picture">
                <pic:pic>
                  <pic:nvPicPr>
                    <pic:cNvPr id="0" name="定制项目异常归因.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图4：原始测量、确认图纸、生产参数和现场验收四份证据决定返工责任，之后才调整分润。</w:t>
      </w:r>
    </w:p>
    <w:p>
      <w:pPr>
        <w:pStyle w:val="BodyText"/>
        <w:spacing w:after="80" w:line="317" w:lineRule="auto"/>
        <w:ind w:firstLine="420"/>
      </w:pPr>
      <w:r>
        <w:rPr>
          <w:rFonts w:ascii="Microsoft YaHei" w:hAnsi="Microsoft YaHei" w:eastAsia="Microsoft YaHei"/>
          <w:sz w:val="21"/>
        </w:rPr>
        <w:t>收益计算可约定先按客户已确认的净订单记录伙伴贡献，再在合同约定的收款节点支付。若客户随后退货或发生责任明确的返工，沿原订单追溯调整，而不是在下一单扣一个解释不清的总数。总部每月应向伙伴提供其负责项目的报价、已采购、已交付、已验收、已收款、退补及费用归属；伙伴则应提交客户确认和售后关闭依据。信息对称后，分润讨论才会从“我做得多”与“我垫资多”的主观争执，转为基于真实项目贡献的协作。</w:t>
      </w:r>
    </w:p>
    <w:p>
      <w:pPr>
        <w:pStyle w:val="Heading1"/>
        <w:keepNext/>
        <w:pageBreakBefore w:val="0"/>
        <w:spacing w:before="360" w:after="160"/>
      </w:pPr>
      <w:r>
        <w:rPr>
          <w:rFonts w:ascii="Microsoft YaHei" w:hAnsi="Microsoft YaHei" w:eastAsia="Microsoft YaHei"/>
          <w:sz w:val="32"/>
        </w:rPr>
        <w:t>区域合作能否复制，取决于现场价值和供货风险能否同时被看见</w:t>
      </w:r>
    </w:p>
    <w:p>
      <w:pPr>
        <w:pStyle w:val="BodyText"/>
        <w:spacing w:after="80" w:line="317" w:lineRule="auto"/>
        <w:ind w:firstLine="420"/>
      </w:pPr>
      <w:r>
        <w:rPr>
          <w:rFonts w:ascii="Microsoft YaHei" w:hAnsi="Microsoft YaHei" w:eastAsia="Microsoft YaHei"/>
          <w:sz w:val="21"/>
        </w:rPr>
        <w:t>区域伙伴能带来本地获客、测量与安装响应，总部能让定制货盘、采购和结算保持一致。好的规则不是让其中一方包揽全部责任，而是让每一步承诺有权限、每次变更有证据、每笔收益能解释成本与到账。企业若准备把十名伙伴扩到一百名，更要确保同一客户在不同地区得到一致报价和交期，同时又能看见伙伴实际完成的服务、总部承担的材料与资金。云上订货承接客户、定制商品、订单、采购、履约与财务事实；合作协议对责任和分润的约定，仍由企业根据真实业务拟定并执行。</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区域伙伴负责测量和现场服务、总部负责供货结算，项目客户的责任和收益怎样划分｜云上订货系统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