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标准品客户提出个性化要求，怎样判断转定制报价还是保留标准供货｜云上订货系统</w:t>
      </w:r>
    </w:p>
    <w:p>
      <w:pPr>
        <w:pStyle w:val="BodyText"/>
        <w:spacing w:after="60" w:line="324" w:lineRule="auto"/>
        <w:ind w:firstLine="420"/>
      </w:pPr>
      <w:r>
        <w:rPr>
          <w:rFonts w:ascii="Microsoft YaHei" w:hAnsi="Microsoft YaHei" w:eastAsia="Microsoft YaHei"/>
          <w:sz w:val="21"/>
        </w:rPr>
        <w:t>眼镜门店向供应商订一批日常销售的镜框，原本只需按标准型号和数量下单。临近提交，店员在备注里写“其中三副换薄镜片、做防蓝光，再按各自瞳距加工”。仓库看到的还是同一个标准商品编号，采购看到的却是不同镜片材料，加工师傅还要逐副确认测量数据。如果销售依旧按标准品报价，交货前就可能发生成本和工期争议；但把所有带备注的订单都升成定制项目，也会让简单的规格选配变得繁琐。关键是判断要求是否改变了商品身份、计价或交付责任，再选择标准品、标准选配或真正定制三条路径。</w:t>
      </w:r>
    </w:p>
    <w:p>
      <w:pPr>
        <w:pStyle w:val="Heading1"/>
        <w:keepNext/>
        <w:pageBreakBefore w:val="0"/>
        <w:spacing w:before="360" w:after="160"/>
      </w:pPr>
      <w:r>
        <w:rPr>
          <w:rFonts w:ascii="Microsoft YaHei" w:hAnsi="Microsoft YaHei" w:eastAsia="Microsoft YaHei"/>
          <w:sz w:val="32"/>
        </w:rPr>
        <w:t>把客户的“特别要求”拆成可检验的三个问题</w:t>
      </w:r>
    </w:p>
    <w:p>
      <w:pPr>
        <w:pStyle w:val="BodyText"/>
        <w:spacing w:after="60" w:line="324" w:lineRule="auto"/>
        <w:ind w:firstLine="420"/>
      </w:pPr>
      <w:r>
        <w:rPr>
          <w:rFonts w:ascii="Microsoft YaHei" w:hAnsi="Microsoft YaHei" w:eastAsia="Microsoft YaHei"/>
          <w:sz w:val="21"/>
        </w:rPr>
        <w:t>第一问：现有商品规格能否直接满足？如果客户只是在已有颜色、尺码或包装中选一个，系统里的标准SKU已包含这些差异，就按标准品下单；不能因为客户在备注里重复写了“黑色”就另建定制单。第二问：要求是否落在企业已经确认过的选配范围？例如某款镜架允许客户从几种镜片材质、功能选项中选择，且参数范围、成本和交期已有规则，可以走定制产品模板内的标准选配。第三问：要求是否超出批准范围、改变加工方法或验收标准？超出时才进入单独评估与报价，未得到技术或采购确认前不能承诺可做。</w:t>
      </w:r>
    </w:p>
    <w:p>
      <w:pPr>
        <w:pStyle w:val="BodyText"/>
        <w:spacing w:after="60" w:line="324" w:lineRule="auto"/>
        <w:ind w:firstLine="420"/>
      </w:pPr>
      <w:r>
        <w:rPr>
          <w:rFonts w:ascii="Microsoft YaHei" w:hAnsi="Microsoft YaHei" w:eastAsia="Microsoft YaHei"/>
          <w:sz w:val="21"/>
        </w:rPr>
        <w:t>以这三副眼镜为例，镜框颜色是现成规格，折射率与防蓝光若已在模板可选范围内，也属于可规则化选配；但客户要求特殊弧度、非模板镜片来源或指定加工精度，就必须由实际加工方核材料、工艺和交期。瞳距等专业测量信息由具备资质的人员确认，系统负责保存客户确认的参数和订单对应关系，不能取代验光、处方审核或专业适配判断。对于窗帘和墙板等软装，逻辑相同：现成花色是标准规格，模板内尺寸和配件是规则化选配，现场墙面不平、异形裁切或特殊安装则需要单独测量与评估。</w:t>
      </w:r>
    </w:p>
    <w:p>
      <w:pPr>
        <w:keepNext/>
        <w:jc w:val="center"/>
      </w:pPr>
      <w:r>
        <w:drawing>
          <wp:inline xmlns:a="http://schemas.openxmlformats.org/drawingml/2006/main" xmlns:pic="http://schemas.openxmlformats.org/drawingml/2006/picture">
            <wp:extent cx="5029200" cy="3266122"/>
            <wp:docPr id="1" name="Picture 1" descr="客户特殊要求按标准SKU标准选配与超范围定制分流" title="客户特殊要求按标准SKU标准选配与超范围定制分流"/>
            <wp:cNvGraphicFramePr>
              <a:graphicFrameLocks noChangeAspect="1"/>
            </wp:cNvGraphicFramePr>
            <a:graphic>
              <a:graphicData uri="http://schemas.openxmlformats.org/drawingml/2006/picture">
                <pic:pic>
                  <pic:nvPicPr>
                    <pic:cNvPr id="0" name="标准与定制分流.png"/>
                    <pic:cNvPicPr/>
                  </pic:nvPicPr>
                  <pic:blipFill>
                    <a:blip r:embed="rId11"/>
                    <a:stretch>
                      <a:fillRect/>
                    </a:stretch>
                  </pic:blipFill>
                  <pic:spPr>
                    <a:xfrm>
                      <a:off x="0" y="0"/>
                      <a:ext cx="5029200" cy="3266122"/>
                    </a:xfrm>
                    <a:prstGeom prst="rect"/>
                  </pic:spPr>
                </pic:pic>
              </a:graphicData>
            </a:graphic>
          </wp:inline>
        </w:drawing>
      </w:r>
    </w:p>
    <w:p>
      <w:pPr>
        <w:spacing w:after="200"/>
        <w:jc w:val="center"/>
      </w:pPr>
      <w:r>
        <w:rPr>
          <w:rFonts w:ascii="Microsoft YaHei" w:hAnsi="Microsoft YaHei" w:eastAsia="Microsoft YaHei"/>
          <w:color w:val="596C78"/>
          <w:sz w:val="18"/>
        </w:rPr>
        <w:t>图1：分流依据是参数范围、成本与交付责任是否已有明确规则，而不是客户是否写了备注。</w:t>
      </w:r>
    </w:p>
    <w:p>
      <w:pPr>
        <w:pStyle w:val="Heading1"/>
        <w:keepNext/>
        <w:pageBreakBefore w:val="0"/>
        <w:spacing w:before="360" w:after="160"/>
      </w:pPr>
      <w:r>
        <w:rPr>
          <w:rFonts w:ascii="Microsoft YaHei" w:hAnsi="Microsoft YaHei" w:eastAsia="Microsoft YaHei"/>
          <w:sz w:val="32"/>
        </w:rPr>
        <w:t>可规则化的选配要让客户按字段确认，不能只留一句备注</w:t>
      </w:r>
    </w:p>
    <w:p>
      <w:pPr>
        <w:pStyle w:val="BodyText"/>
        <w:spacing w:after="60" w:line="324" w:lineRule="auto"/>
        <w:ind w:firstLine="420"/>
      </w:pPr>
      <w:r>
        <w:rPr>
          <w:rFonts w:ascii="Microsoft YaHei" w:hAnsi="Microsoft YaHei" w:eastAsia="Microsoft YaHei"/>
          <w:sz w:val="21"/>
        </w:rPr>
        <w:t>客户在手机商城选择镜架款式、镜片材质、功能选项并填写瞳距时，每个字段代表不同的供货或加工约束。下图展示这些选择如何在一个订货页面分别出现。字段中哪些是必填、哪些允许多选、数值范围是什么，应在模板中明确；当客户填入不在范围内的数据，应该先复核，不要默认按最近的标准值替代。备注适合放无法影响报价的说明，例如希望在包装上标门店单号；材料、尺寸、左右眼参数等会影响产品身份的内容，应进入结构化参数和最终确认明细。</w:t>
      </w:r>
    </w:p>
    <w:p>
      <w:pPr>
        <w:keepNext/>
        <w:jc w:val="center"/>
      </w:pPr>
      <w:r>
        <w:drawing>
          <wp:inline xmlns:a="http://schemas.openxmlformats.org/drawingml/2006/main" xmlns:pic="http://schemas.openxmlformats.org/drawingml/2006/picture">
            <wp:extent cx="2007021" cy="4343400"/>
            <wp:docPr id="2" name="Picture 2" descr="云上订货手机商城眼镜定制页分别填写瞳距镜片材质镜框功能和门店工单号" title="云上订货手机商城眼镜定制页分别填写瞳距镜片材质镜框功能和门店工单号"/>
            <wp:cNvGraphicFramePr>
              <a:graphicFrameLocks noChangeAspect="1"/>
            </wp:cNvGraphicFramePr>
            <a:graphic>
              <a:graphicData uri="http://schemas.openxmlformats.org/drawingml/2006/picture">
                <pic:pic>
                  <pic:nvPicPr>
                    <pic:cNvPr id="0" name="SC000846S1.png"/>
                    <pic:cNvPicPr/>
                  </pic:nvPicPr>
                  <pic:blipFill>
                    <a:blip r:embed="rId12"/>
                    <a:stretch>
                      <a:fillRect/>
                    </a:stretch>
                  </pic:blipFill>
                  <pic:spPr>
                    <a:xfrm>
                      <a:off x="0" y="0"/>
                      <a:ext cx="2007021" cy="4343400"/>
                    </a:xfrm>
                    <a:prstGeom prst="rect"/>
                  </pic:spPr>
                </pic:pic>
              </a:graphicData>
            </a:graphic>
          </wp:inline>
        </w:drawing>
      </w:r>
    </w:p>
    <w:p>
      <w:pPr>
        <w:spacing w:after="200"/>
        <w:jc w:val="center"/>
      </w:pPr>
      <w:r>
        <w:rPr>
          <w:rFonts w:ascii="Microsoft YaHei" w:hAnsi="Microsoft YaHei" w:eastAsia="Microsoft YaHei"/>
          <w:color w:val="596C78"/>
          <w:sz w:val="18"/>
        </w:rPr>
        <w:t>图2：客户在手机商城选择已开放参数；专业测量、真实适配和加工可行性仍需相应岗位核对。</w:t>
      </w:r>
    </w:p>
    <w:p>
      <w:pPr>
        <w:pStyle w:val="BodyText"/>
        <w:spacing w:after="60" w:line="324" w:lineRule="auto"/>
        <w:ind w:firstLine="420"/>
      </w:pPr>
      <w:r>
        <w:rPr>
          <w:rFonts w:ascii="Microsoft YaHei" w:hAnsi="Microsoft YaHei" w:eastAsia="Microsoft YaHei"/>
          <w:sz w:val="21"/>
        </w:rPr>
        <w:t>PC管理端的定制模板能维护不同眼镜类型所需的参数组，并关联商品。下图列出游戏、近视、运动和防蓝光等模板；它说明企业可以按产品用途建立不同选择结构，不能据此推断所有模板都已关联可售商品。建立模板时应写清“谁维护参数”“谁确认计价”“何时生效”。同名参数如果在不同模板中单位或含义不同，销售很容易把客户在甲模板填写的数据照搬到乙模板；上线前应用一笔样单逐字段核对客户页、后台订单和加工清单是否一致。</w:t>
      </w:r>
    </w:p>
    <w:p>
      <w:pPr>
        <w:keepNext/>
        <w:jc w:val="center"/>
      </w:pPr>
      <w:r>
        <w:drawing>
          <wp:inline xmlns:a="http://schemas.openxmlformats.org/drawingml/2006/main" xmlns:pic="http://schemas.openxmlformats.org/drawingml/2006/picture">
            <wp:extent cx="5029200" cy="3029447"/>
            <wp:docPr id="3" name="Picture 3" descr="云上订货PC管理端定制模板列表显示眼镜类型参数数量与关联商品数量" title="云上订货PC管理端定制模板列表显示眼镜类型参数数量与关联商品数量"/>
            <wp:cNvGraphicFramePr>
              <a:graphicFrameLocks noChangeAspect="1"/>
            </wp:cNvGraphicFramePr>
            <a:graphic>
              <a:graphicData uri="http://schemas.openxmlformats.org/drawingml/2006/picture">
                <pic:pic>
                  <pic:nvPicPr>
                    <pic:cNvPr id="0" name="SC000846S2.png"/>
                    <pic:cNvPicPr/>
                  </pic:nvPicPr>
                  <pic:blipFill>
                    <a:blip r:embed="rId13"/>
                    <a:stretch>
                      <a:fillRect/>
                    </a:stretch>
                  </pic:blipFill>
                  <pic:spPr>
                    <a:xfrm>
                      <a:off x="0" y="0"/>
                      <a:ext cx="5029200" cy="3029447"/>
                    </a:xfrm>
                    <a:prstGeom prst="rect"/>
                  </pic:spPr>
                </pic:pic>
              </a:graphicData>
            </a:graphic>
          </wp:inline>
        </w:drawing>
      </w:r>
    </w:p>
    <w:p>
      <w:pPr>
        <w:spacing w:after="200"/>
        <w:jc w:val="center"/>
      </w:pPr>
      <w:r>
        <w:rPr>
          <w:rFonts w:ascii="Microsoft YaHei" w:hAnsi="Microsoft YaHei" w:eastAsia="Microsoft YaHei"/>
          <w:color w:val="596C78"/>
          <w:sz w:val="18"/>
        </w:rPr>
        <w:t>图3：模板把可选范围提前固定；关联商品数与参数数需逐项核实，不能仅看模板已创建。</w:t>
      </w:r>
    </w:p>
    <w:p>
      <w:pPr>
        <w:pStyle w:val="Heading1"/>
        <w:keepNext/>
        <w:pageBreakBefore w:val="0"/>
        <w:spacing w:before="360" w:after="160"/>
      </w:pPr>
      <w:r>
        <w:rPr>
          <w:rFonts w:ascii="Microsoft YaHei" w:hAnsi="Microsoft YaHei" w:eastAsia="Microsoft YaHei"/>
          <w:sz w:val="32"/>
        </w:rPr>
        <w:t>在报价前核出材料、加工、损耗与承诺时间</w:t>
      </w:r>
    </w:p>
    <w:p>
      <w:pPr>
        <w:pStyle w:val="BodyText"/>
        <w:spacing w:after="60" w:line="324" w:lineRule="auto"/>
        <w:ind w:firstLine="420"/>
      </w:pPr>
      <w:r>
        <w:rPr>
          <w:rFonts w:ascii="Microsoft YaHei" w:hAnsi="Microsoft YaHei" w:eastAsia="Microsoft YaHei"/>
          <w:sz w:val="21"/>
        </w:rPr>
        <w:t>定制报价至少分清基础商品、被替换或增加的材料、加工费、外协费用、运输安装和预期返工。假设标准镜架加普通镜片成交二百四十元，采购与加工合计一百七十元；选更薄镜片增加材料四十元、加工十元，拟报价三百一十元。表面看毛利从七十元变为九十元，但若新增一次外协送料二十五元或返工概率较高，实际贡献可能低于标准品。这里的金额仅是演算，真实报价须用本企业对应供应商价格、加工能力和客户收货地点计算。销售不应把“每副多收七十元”直接等同于“多赚七十元”。</w:t>
      </w:r>
    </w:p>
    <w:p>
      <w:pPr>
        <w:pStyle w:val="BodyText"/>
        <w:spacing w:after="60" w:line="324" w:lineRule="auto"/>
        <w:ind w:firstLine="420"/>
      </w:pPr>
      <w:r>
        <w:rPr>
          <w:rFonts w:ascii="Microsoft YaHei" w:hAnsi="Microsoft YaHei" w:eastAsia="Microsoft YaHei"/>
          <w:sz w:val="21"/>
        </w:rPr>
        <w:t>更重要的是报价所依据的参数版本。客户最初要普通镜片，后改为薄镜片，又提出防蓝光功能，三个版本的价格和交期不能混在一张模糊截图里。报价单应显示商品、参数、数量、价格构成、交期、可接受的差异与售后责任；客户明确确认后才允许下单或启动采购加工。若只确认其中两副，第三副还在等专业参数，就将已确认与待确认部分分开，不能让待确认的要求随着整单进入生产。</w:t>
      </w:r>
    </w:p>
    <w:p>
      <w:pPr>
        <w:keepNext/>
        <w:jc w:val="center"/>
      </w:pPr>
      <w:r>
        <w:drawing>
          <wp:inline xmlns:a="http://schemas.openxmlformats.org/drawingml/2006/main" xmlns:pic="http://schemas.openxmlformats.org/drawingml/2006/picture">
            <wp:extent cx="5029200" cy="3266122"/>
            <wp:docPr id="4" name="Picture 4" descr="标准款与镜片选配的报价贡献和新增费用比较" title="标准款与镜片选配的报价贡献和新增费用比较"/>
            <wp:cNvGraphicFramePr>
              <a:graphicFrameLocks noChangeAspect="1"/>
            </wp:cNvGraphicFramePr>
            <a:graphic>
              <a:graphicData uri="http://schemas.openxmlformats.org/drawingml/2006/picture">
                <pic:pic>
                  <pic:nvPicPr>
                    <pic:cNvPr id="0" name="选配报价成本核对.png"/>
                    <pic:cNvPicPr/>
                  </pic:nvPicPr>
                  <pic:blipFill>
                    <a:blip r:embed="rId14"/>
                    <a:stretch>
                      <a:fillRect/>
                    </a:stretch>
                  </pic:blipFill>
                  <pic:spPr>
                    <a:xfrm>
                      <a:off x="0" y="0"/>
                      <a:ext cx="5029200" cy="3266122"/>
                    </a:xfrm>
                    <a:prstGeom prst="rect"/>
                  </pic:spPr>
                </pic:pic>
              </a:graphicData>
            </a:graphic>
          </wp:inline>
        </w:drawing>
      </w:r>
    </w:p>
    <w:p>
      <w:pPr>
        <w:spacing w:after="200"/>
        <w:jc w:val="center"/>
      </w:pPr>
      <w:r>
        <w:rPr>
          <w:rFonts w:ascii="Microsoft YaHei" w:hAnsi="Microsoft YaHei" w:eastAsia="Microsoft YaHei"/>
          <w:color w:val="596C78"/>
          <w:sz w:val="18"/>
        </w:rPr>
        <w:t>图4：在客户确认价格之前，把新增材料、加工与外协配送分别计入；交付条件发生变化就重算。</w:t>
      </w:r>
    </w:p>
    <w:p>
      <w:pPr>
        <w:pStyle w:val="Heading1"/>
        <w:keepNext/>
        <w:pageBreakBefore w:val="0"/>
        <w:spacing w:before="360" w:after="160"/>
      </w:pPr>
      <w:r>
        <w:rPr>
          <w:rFonts w:ascii="Microsoft YaHei" w:hAnsi="Microsoft YaHei" w:eastAsia="Microsoft YaHei"/>
          <w:sz w:val="32"/>
        </w:rPr>
        <w:t>把客户确认的那一版参数传到采购、加工和交付</w:t>
      </w:r>
    </w:p>
    <w:p>
      <w:pPr>
        <w:pStyle w:val="BodyText"/>
        <w:spacing w:after="60" w:line="324" w:lineRule="auto"/>
        <w:ind w:firstLine="420"/>
      </w:pPr>
      <w:r>
        <w:rPr>
          <w:rFonts w:ascii="Microsoft YaHei" w:hAnsi="Microsoft YaHei" w:eastAsia="Microsoft YaHei"/>
          <w:sz w:val="21"/>
        </w:rPr>
        <w:t>订单成立后，销售传给采购和加工的应是同一组客户确认参数，而不是聊天里最后出现的一句话。采购核镜片是否可购、到货批次与数量；加工核左右眼参数、镜框匹配和工单号；仓配核三副产品能否一同交付。任一方发现参数矛盾，要停在确认环节，找到客户和专业负责人复核，不能由仓库私自选择“最接近的型号”。标签和验收记录应能回到具体客户、门店工单和订单项，防止同一门店多名顾客的参数混用。</w:t>
      </w:r>
    </w:p>
    <w:p>
      <w:pPr>
        <w:pStyle w:val="BodyText"/>
        <w:spacing w:after="60" w:line="324" w:lineRule="auto"/>
        <w:ind w:firstLine="420"/>
      </w:pPr>
      <w:r>
        <w:rPr>
          <w:rFonts w:ascii="Microsoft YaHei" w:hAnsi="Microsoft YaHei" w:eastAsia="Microsoft YaHei"/>
          <w:sz w:val="21"/>
        </w:rPr>
        <w:t>假设客户确认后的第二天又把三副中的一副从防蓝光改为普通镜片。若材料尚未采购，可以更新报价、交期和确认版本；若材料已裁切，销售应先核实际损失和能否调整，再与客户商定承担方式。系统保留变更前后的订单与跟进记录，但它不会自动判断外协损失应由谁承担；应依报价条款、客户确认和实际加工阶段处理。不能为了让单据“看起来一致”，删除旧版本再重新录一张新单，导致已经采购的材料无人负责。</w:t>
      </w:r>
    </w:p>
    <w:p>
      <w:pPr>
        <w:keepNext/>
        <w:jc w:val="center"/>
      </w:pPr>
      <w:r>
        <w:drawing>
          <wp:inline xmlns:a="http://schemas.openxmlformats.org/drawingml/2006/main" xmlns:pic="http://schemas.openxmlformats.org/drawingml/2006/picture">
            <wp:extent cx="5029200" cy="3266122"/>
            <wp:docPr id="5" name="Picture 5" descr="定制订单从参数确认到采购加工验收的版本交接" title="定制订单从参数确认到采购加工验收的版本交接"/>
            <wp:cNvGraphicFramePr>
              <a:graphicFrameLocks noChangeAspect="1"/>
            </wp:cNvGraphicFramePr>
            <a:graphic>
              <a:graphicData uri="http://schemas.openxmlformats.org/drawingml/2006/picture">
                <pic:pic>
                  <pic:nvPicPr>
                    <pic:cNvPr id="0" name="确认版本交付时序.png"/>
                    <pic:cNvPicPr/>
                  </pic:nvPicPr>
                  <pic:blipFill>
                    <a:blip r:embed="rId15"/>
                    <a:stretch>
                      <a:fillRect/>
                    </a:stretch>
                  </pic:blipFill>
                  <pic:spPr>
                    <a:xfrm>
                      <a:off x="0" y="0"/>
                      <a:ext cx="5029200" cy="3266122"/>
                    </a:xfrm>
                    <a:prstGeom prst="rect"/>
                  </pic:spPr>
                </pic:pic>
              </a:graphicData>
            </a:graphic>
          </wp:inline>
        </w:drawing>
      </w:r>
    </w:p>
    <w:p>
      <w:pPr>
        <w:spacing w:after="200"/>
        <w:jc w:val="center"/>
      </w:pPr>
      <w:r>
        <w:rPr>
          <w:rFonts w:ascii="Microsoft YaHei" w:hAnsi="Microsoft YaHei" w:eastAsia="Microsoft YaHei"/>
          <w:color w:val="596C78"/>
          <w:sz w:val="18"/>
        </w:rPr>
        <w:t>图5：每一次变更都应先判断材料与加工处于哪个阶段，再决定能否改、改多少钱、何时交。</w:t>
      </w:r>
    </w:p>
    <w:p>
      <w:pPr>
        <w:pStyle w:val="Heading1"/>
        <w:keepNext/>
        <w:pageBreakBefore w:val="0"/>
        <w:spacing w:before="360" w:after="160"/>
      </w:pPr>
      <w:r>
        <w:rPr>
          <w:rFonts w:ascii="Microsoft YaHei" w:hAnsi="Microsoft YaHei" w:eastAsia="Microsoft YaHei"/>
          <w:sz w:val="32"/>
        </w:rPr>
        <w:t>用一次标准单和一次变更单试跑，再决定是否扩大模板范围</w:t>
      </w:r>
    </w:p>
    <w:p>
      <w:pPr>
        <w:pStyle w:val="BodyText"/>
        <w:spacing w:after="60" w:line="324" w:lineRule="auto"/>
        <w:ind w:firstLine="420"/>
      </w:pPr>
      <w:r>
        <w:rPr>
          <w:rFonts w:ascii="Microsoft YaHei" w:hAnsi="Microsoft YaHei" w:eastAsia="Microsoft YaHei"/>
          <w:sz w:val="21"/>
        </w:rPr>
        <w:t>先选一款有稳定销量的镜架，跑一笔纯标准单、一笔模板内选配单，再跑一笔客户中途改参数的订单。观察客户是否能独立看懂选择项，销售报价与客户页是否一致，采购是否拿到准确材料，加工清单能否逐副区分，交付后是否出现返工或争议。不能只验证“订单能提交”；如果订单能提交但加工师傅仍需打电话重问一遍瞳距，定制信息就没有真正贯通。</w:t>
      </w:r>
    </w:p>
    <w:p>
      <w:pPr>
        <w:pStyle w:val="BodyText"/>
        <w:spacing w:after="60" w:line="324" w:lineRule="auto"/>
        <w:ind w:firstLine="420"/>
      </w:pPr>
      <w:r>
        <w:rPr>
          <w:rFonts w:ascii="Microsoft YaHei" w:hAnsi="Microsoft YaHei" w:eastAsia="Microsoft YaHei"/>
          <w:sz w:val="21"/>
        </w:rPr>
        <w:t>复盘要按产品和参数组合看收入、材料、加工、返工、交期与收款。若某个选配组合反复发生“客户填得上、加工做不了”，应收窄模板可选范围或添加明确的人工确认条件；若某些定制需求重复且参数稳定、报价准确，可逐步沉淀为新模板。高频不等于适合标准化：客户量大但每次现场条件都不同的软装项目，仍需要测量和方案评审。扩展到更多门店前，应让客服、销售、采购和加工部门用同一张已确认订单复核结果。</w:t>
      </w:r>
    </w:p>
    <w:p>
      <w:pPr>
        <w:pStyle w:val="Heading1"/>
        <w:keepNext/>
        <w:pageBreakBefore w:val="0"/>
        <w:spacing w:before="360" w:after="160"/>
      </w:pPr>
      <w:r>
        <w:rPr>
          <w:rFonts w:ascii="Microsoft YaHei" w:hAnsi="Microsoft YaHei" w:eastAsia="Microsoft YaHei"/>
          <w:sz w:val="32"/>
        </w:rPr>
        <w:t>让标准品保有速度，让定制品承担清楚的责任</w:t>
      </w:r>
    </w:p>
    <w:p>
      <w:pPr>
        <w:pStyle w:val="BodyText"/>
        <w:spacing w:after="60" w:line="324" w:lineRule="auto"/>
        <w:ind w:firstLine="420"/>
      </w:pPr>
      <w:r>
        <w:rPr>
          <w:rFonts w:ascii="Microsoft YaHei" w:hAnsi="Microsoft YaHei" w:eastAsia="Microsoft YaHei"/>
          <w:sz w:val="21"/>
        </w:rPr>
        <w:t>批发企业希望客户下单方便，往往让备注框承接所有特殊要求。它看似省了建模板的时间，实际把判断成本推给采购、加工和售后，价格与交期也在部门之间反复解释。另一种极端是所有特殊要求都走完整项目定制，客户只是改一个已有规格也要等技术评审，标准品效率被拖慢。企业需要的不是“标准”与“定制”二选一，而是保留清晰的中间层：已批准参数范围内的规则化选配。</w:t>
      </w:r>
    </w:p>
    <w:p>
      <w:pPr>
        <w:pStyle w:val="BodyText"/>
        <w:spacing w:after="60" w:line="324" w:lineRule="auto"/>
        <w:ind w:firstLine="420"/>
      </w:pPr>
      <w:r>
        <w:rPr>
          <w:rFonts w:ascii="Microsoft YaHei" w:hAnsi="Microsoft YaHei" w:eastAsia="Microsoft YaHei"/>
          <w:sz w:val="21"/>
        </w:rPr>
        <w:t>云上订货的标准商品、定制产品模板、手机商城参数选择、报价和订单记录可以支持这三条路径的区分。经营负责人仍要决定哪些组合可售、由谁对专业适配负责、材料变更如何计价，以及什么条件下停单复核。客户从选择参数到收到产品应只面对一份可核对的承诺；内部从报价到采购加工应能追到同一版参数。这样标准品维持快速供货，规则化选配有确定价格，真正定制则以明确责任换取合理收益，而非靠一句“客户特殊要求”把风险留到交货后。</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SC-000846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标准品客户提出个性化要求，怎样判断转定制报价还是保留标准供货｜云上订货系统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