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充值活动收到了现金，怎样核对未来供货责任而不把余额当利润｜云上订货系统</w:t>
      </w:r>
    </w:p>
    <w:p>
      <w:pPr>
        <w:pStyle w:val="BodyText"/>
        <w:spacing w:after="60" w:line="324" w:lineRule="auto"/>
        <w:ind w:firstLine="420"/>
      </w:pPr>
      <w:r>
        <w:rPr>
          <w:rFonts w:ascii="Microsoft YaHei" w:hAnsi="Microsoft YaHei" w:eastAsia="Microsoft YaHei"/>
          <w:sz w:val="21"/>
        </w:rPr>
        <w:t>一家食材配送商推出“预存一万元送五百元订货额度”，两周收到一批客户充值。老板看银行余额增加，想把这笔钱拿去扩仓；采购却提醒，有些客户未来三个月要按活动价集中订货，企业还要采购、分拣、配送。若把充值到账全部当利润，现金看起来好，后续供货高峰和退款来时却可能缺钱。预存款的经营价值在于提高采购确定性和回款速度，但它先带来未来交付责任，商品真正交付后的毛利才需要按实际成本、优惠和售后重算。</w:t>
      </w:r>
    </w:p>
    <w:p>
      <w:pPr>
        <w:pStyle w:val="BodyText"/>
        <w:spacing w:after="60" w:line="324" w:lineRule="auto"/>
        <w:ind w:firstLine="420"/>
      </w:pPr>
      <w:r>
        <w:rPr>
          <w:rFonts w:ascii="Microsoft YaHei" w:hAnsi="Microsoft YaHei" w:eastAsia="Microsoft YaHei"/>
          <w:sz w:val="21"/>
        </w:rPr>
        <w:t>这里要区分客户支付的现金、系统可抵扣余额、活动赠送权益和已经完成的订单。云上订货可以记录客户预存款、返款或权益余额、下单抵扣、订单与收退款；企业仍须按合同与适用会计、税务规则确认收入及负债。本文讨论经营核算方法，不把页面余额直接等同财务报表的会计科目，也不建议借“过期作废”来消除真实应履行的客户权利。</w:t>
      </w:r>
    </w:p>
    <w:p>
      <w:pPr>
        <w:pStyle w:val="Heading1"/>
        <w:keepNext/>
        <w:pageBreakBefore w:val="0"/>
        <w:spacing w:before="360" w:after="160"/>
      </w:pPr>
      <w:r>
        <w:rPr>
          <w:rFonts w:ascii="Microsoft YaHei" w:hAnsi="Microsoft YaHei" w:eastAsia="Microsoft YaHei"/>
          <w:sz w:val="32"/>
        </w:rPr>
        <w:t>一笔充值拆成四本账，先看企业还欠客户什么</w:t>
      </w:r>
    </w:p>
    <w:p>
      <w:pPr>
        <w:pStyle w:val="BodyText"/>
        <w:spacing w:after="60" w:line="324" w:lineRule="auto"/>
        <w:ind w:firstLine="420"/>
      </w:pPr>
      <w:r>
        <w:rPr>
          <w:rFonts w:ascii="Microsoft YaHei" w:hAnsi="Microsoft YaHei" w:eastAsia="Microsoft YaHei"/>
          <w:sz w:val="21"/>
        </w:rPr>
        <w:t>客户实付一万元，假设活动另赠五百元可抵货款，手机商城显示可用一万零五百元。企业银行实际只进了一万元，赠送五百元不是新增现金；客户尚未取货，企业也没有因到账就完成一万零五百元的商品交付。内部至少分四个口径：第一是已到账现金，需与支付流水、银行和客户核对；第二是客户尚可用于订货的本金及活动权益，按来源分列；第三是已下单未发货或部分发货的履约责任；第四是已经交付、扣除优惠和退货后形成的实际交易结果。若客户充值后又退款，这四本账要沿原充值和原订单变化，不能另建一条“负销售”冲平。</w:t>
      </w:r>
    </w:p>
    <w:p>
      <w:pPr>
        <w:pStyle w:val="BodyText"/>
        <w:spacing w:after="60" w:line="324" w:lineRule="auto"/>
        <w:ind w:firstLine="420"/>
      </w:pPr>
      <w:r>
        <w:rPr>
          <w:rFonts w:ascii="Microsoft YaHei" w:hAnsi="Microsoft YaHei" w:eastAsia="Microsoft YaHei"/>
          <w:sz w:val="21"/>
        </w:rPr>
        <w:t>预存款、退款余额、订单应付款和退货待退款也不能混为一个数字。手机管理端对账结算示例把账户结余拆为预存款余额、退款余额、订单应付款和退货待退款，说明客户眼中的“还能用多少钱”背后有不同来源。画面里的金额只是示例，不代表这家企业实际还有多少待供货；财务仍要按客户、交易和期间对底层明细。积分和优惠券则属于营销权益，使用门槛、有效期和是否可叠加各自不同，不能一股脑加进现金余额。</w:t>
      </w:r>
    </w:p>
    <w:p>
      <w:pPr>
        <w:keepNext/>
        <w:jc w:val="center"/>
      </w:pPr>
      <w:r>
        <w:drawing>
          <wp:inline xmlns:a="http://schemas.openxmlformats.org/drawingml/2006/main" xmlns:pic="http://schemas.openxmlformats.org/drawingml/2006/picture">
            <wp:extent cx="4297680" cy="2417444"/>
            <wp:docPr id="1" name="Picture 1" descr="充值现金客户余额未履约订单和已交付结果之间的关系" title="充值现金客户余额未履约订单和已交付结果之间的关系"/>
            <wp:cNvGraphicFramePr>
              <a:graphicFrameLocks noChangeAspect="1"/>
            </wp:cNvGraphicFramePr>
            <a:graphic>
              <a:graphicData uri="http://schemas.openxmlformats.org/drawingml/2006/picture">
                <pic:pic>
                  <pic:nvPicPr>
                    <pic:cNvPr id="0" name="充值四本账.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图1：现金到账是起点，后续抵扣、交付、退款和营销赠送要各有记录。</w:t>
      </w:r>
    </w:p>
    <w:p>
      <w:pPr>
        <w:keepNext/>
        <w:jc w:val="center"/>
      </w:pPr>
      <w:r>
        <w:drawing>
          <wp:inline xmlns:a="http://schemas.openxmlformats.org/drawingml/2006/main" xmlns:pic="http://schemas.openxmlformats.org/drawingml/2006/picture">
            <wp:extent cx="3574473" cy="3657600"/>
            <wp:docPr id="2" name="Picture 2" descr="手机管理端对账结算页面区分预存款余额退款余额订单应付款和退货待退款" title="手机管理端对账结算页面区分预存款余额退款余额订单应付款和退货待退款"/>
            <wp:cNvGraphicFramePr>
              <a:graphicFrameLocks noChangeAspect="1"/>
            </wp:cNvGraphicFramePr>
            <a:graphic>
              <a:graphicData uri="http://schemas.openxmlformats.org/drawingml/2006/picture">
                <pic:pic>
                  <pic:nvPicPr>
                    <pic:cNvPr id="0" name="SC000907S3.png"/>
                    <pic:cNvPicPr/>
                  </pic:nvPicPr>
                  <pic:blipFill>
                    <a:blip r:embed="rId12"/>
                    <a:stretch>
                      <a:fillRect/>
                    </a:stretch>
                  </pic:blipFill>
                  <pic:spPr>
                    <a:xfrm>
                      <a:off x="0" y="0"/>
                      <a:ext cx="3574473" cy="3657600"/>
                    </a:xfrm>
                    <a:prstGeom prst="rect"/>
                  </pic:spPr>
                </pic:pic>
              </a:graphicData>
            </a:graphic>
          </wp:inline>
        </w:drawing>
      </w:r>
    </w:p>
    <w:p>
      <w:pPr>
        <w:spacing w:after="200"/>
        <w:jc w:val="center"/>
      </w:pPr>
      <w:r>
        <w:rPr>
          <w:rFonts w:ascii="Microsoft YaHei" w:hAnsi="Microsoft YaHei" w:eastAsia="Microsoft YaHei"/>
          <w:color w:val="596C78"/>
          <w:sz w:val="18"/>
        </w:rPr>
        <w:t>图2：页面结余应继续追到来源流水，不能直接把汇总数字记成利润。</w:t>
      </w:r>
    </w:p>
    <w:p>
      <w:pPr>
        <w:pStyle w:val="Heading1"/>
        <w:keepNext/>
        <w:pageBreakBefore w:val="0"/>
        <w:spacing w:before="360" w:after="160"/>
      </w:pPr>
      <w:r>
        <w:rPr>
          <w:rFonts w:ascii="Microsoft YaHei" w:hAnsi="Microsoft YaHei" w:eastAsia="Microsoft YaHei"/>
          <w:sz w:val="32"/>
        </w:rPr>
        <w:t>活动开始前，用未来订单模拟供货和现金缺口</w:t>
      </w:r>
    </w:p>
    <w:p>
      <w:pPr>
        <w:pStyle w:val="BodyText"/>
        <w:spacing w:after="60" w:line="324" w:lineRule="auto"/>
        <w:ind w:firstLine="420"/>
      </w:pPr>
      <w:r>
        <w:rPr>
          <w:rFonts w:ascii="Microsoft YaHei" w:hAnsi="Microsoft YaHei" w:eastAsia="Microsoft YaHei"/>
          <w:sz w:val="21"/>
        </w:rPr>
        <w:t>充值带来的现金可缓解应收账款，但客户一旦集中消费，采购款、包装、人力和配送费会在发货前后发生。先选近期真实订单结构模拟：客户常买哪些SKU，毛利和保质期如何，是否有合同价或其他优惠，通常多久消费完余额。以一万元实收、五百元赠送为例，若客户以一万零五百元的账面购买力采购商品，假设商品采购与履约的实际可归因成本是九千三百元，不能简单说“赚了一千二百元”；还要看赠送额如何抵扣、客户是否退货、成本是否随采购季节上涨，以及是否还有未交付余额。数字只是算账示例，不能代入真实客户政策。</w:t>
      </w:r>
    </w:p>
    <w:p>
      <w:pPr>
        <w:pStyle w:val="BodyText"/>
        <w:spacing w:after="60" w:line="324" w:lineRule="auto"/>
        <w:ind w:firstLine="420"/>
      </w:pPr>
      <w:r>
        <w:rPr>
          <w:rFonts w:ascii="Microsoft YaHei" w:hAnsi="Microsoft YaHei" w:eastAsia="Microsoft YaHei"/>
          <w:sz w:val="21"/>
        </w:rPr>
        <w:t>企业要做一张未来四到十二周的滚动表：期初未用余额、预计订单抵扣、必须采购的货值、配送支出、可能退款、剩余可用余额。特别是生鲜、冻品和节庆商品，充值高峰与供货高峰可能高度重叠；不能因为钱先到了，就把全部现金锁进扩仓、设备或其他长期投入。若活动规模越来越大，按客户群和商品毛利拆开，低毛利大额预存与高毛利小额预存的供货压力完全不同。客户消费速度超出原预测，应补采购和配送安排；消费慢于预测，也不能把闲置余额立刻当作“沉淀收益”。</w:t>
      </w:r>
    </w:p>
    <w:p>
      <w:pPr>
        <w:keepNext/>
        <w:jc w:val="center"/>
      </w:pPr>
      <w:r>
        <w:drawing>
          <wp:inline xmlns:a="http://schemas.openxmlformats.org/drawingml/2006/main" xmlns:pic="http://schemas.openxmlformats.org/drawingml/2006/picture">
            <wp:extent cx="4297680" cy="2417444"/>
            <wp:docPr id="3" name="Picture 3" descr="一万元充值加五百元权益的现金与交付演算" title="一万元充值加五百元权益的现金与交付演算"/>
            <wp:cNvGraphicFramePr>
              <a:graphicFrameLocks noChangeAspect="1"/>
            </wp:cNvGraphicFramePr>
            <a:graphic>
              <a:graphicData uri="http://schemas.openxmlformats.org/drawingml/2006/picture">
                <pic:pic>
                  <pic:nvPicPr>
                    <pic:cNvPr id="0" name="预存款供货演算.png"/>
                    <pic:cNvPicPr/>
                  </pic:nvPicPr>
                  <pic:blipFill>
                    <a:blip r:embed="rId13"/>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图3：先模拟采购和履约资金，再决定活动规模与现金可用于何处。</w:t>
      </w:r>
    </w:p>
    <w:p>
      <w:pPr>
        <w:pStyle w:val="Heading1"/>
        <w:keepNext/>
        <w:pageBreakBefore w:val="0"/>
        <w:spacing w:before="360" w:after="160"/>
      </w:pPr>
      <w:r>
        <w:rPr>
          <w:rFonts w:ascii="Microsoft YaHei" w:hAnsi="Microsoft YaHei" w:eastAsia="Microsoft YaHei"/>
          <w:sz w:val="32"/>
        </w:rPr>
        <w:t>从客户下单到订单完成，沿原交易扣减余额</w:t>
      </w:r>
    </w:p>
    <w:p>
      <w:pPr>
        <w:pStyle w:val="BodyText"/>
        <w:spacing w:after="60" w:line="324" w:lineRule="auto"/>
        <w:ind w:firstLine="420"/>
      </w:pPr>
      <w:r>
        <w:rPr>
          <w:rFonts w:ascii="Microsoft YaHei" w:hAnsi="Microsoft YaHei" w:eastAsia="Microsoft YaHei"/>
          <w:sz w:val="21"/>
        </w:rPr>
        <w:t>客户手机商城下单时，先核商品与价格、可用余额、活动赠送条件和其他优惠叠加结果。余额不足时，若系统与企业政策支持组合支付，要清楚显示余额抵扣多少、还需支付多少；付款不足的订单不能因为账户里有赠送额就视为全部收清。订单提交后，财务和客服能从客户、原充值流水、订单和付款记录判断余额是预占、实际扣减还是退款回退。具体扣减时点应按系统当前状态与企业配置核验，不能凭文章假定所有订单一提交就完成交付。</w:t>
      </w:r>
    </w:p>
    <w:p>
      <w:pPr>
        <w:pStyle w:val="BodyText"/>
        <w:spacing w:after="60" w:line="324" w:lineRule="auto"/>
        <w:ind w:firstLine="420"/>
      </w:pPr>
      <w:r>
        <w:rPr>
          <w:rFonts w:ascii="Microsoft YaHei" w:hAnsi="Microsoft YaHei" w:eastAsia="Microsoft YaHei"/>
          <w:sz w:val="21"/>
        </w:rPr>
        <w:t>若客户同一笔订单分批出库，资金口径和实发口径也要分开。客户预存款可能已用于全单付款，但未发商品仍是待履约；若后续缺货改商品，新增差额或应退金额要在原单关联处理。客户取消未发部分，先核原优惠分摊与订单变更，再确定返还到余额还是原支付渠道。退货商品如果已经在活动范围内抵扣，退款不能重复返还现金和余额。对账时以“客户支付了什么、收到什么、还欠什么”为顺序，比先看账户总余额更容易发现异常。</w:t>
      </w:r>
    </w:p>
    <w:p>
      <w:pPr>
        <w:keepNext/>
        <w:jc w:val="center"/>
      </w:pPr>
      <w:r>
        <w:drawing>
          <wp:inline xmlns:a="http://schemas.openxmlformats.org/drawingml/2006/main" xmlns:pic="http://schemas.openxmlformats.org/drawingml/2006/picture">
            <wp:extent cx="4297680" cy="2417444"/>
            <wp:docPr id="4" name="Picture 4" descr="充值到账到下单抵扣发货退货的资金与货物流转" title="充值到账到下单抵扣发货退货的资金与货物流转"/>
            <wp:cNvGraphicFramePr>
              <a:graphicFrameLocks noChangeAspect="1"/>
            </wp:cNvGraphicFramePr>
            <a:graphic>
              <a:graphicData uri="http://schemas.openxmlformats.org/drawingml/2006/picture">
                <pic:pic>
                  <pic:nvPicPr>
                    <pic:cNvPr id="0" name="充值履约时序.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图4：余额减少不等于商品已交付，发货、签收与退款要回到原订单核对。</w:t>
      </w:r>
    </w:p>
    <w:p>
      <w:pPr>
        <w:pStyle w:val="Heading1"/>
        <w:keepNext/>
        <w:pageBreakBefore w:val="0"/>
        <w:spacing w:before="360" w:after="160"/>
      </w:pPr>
      <w:r>
        <w:rPr>
          <w:rFonts w:ascii="Microsoft YaHei" w:hAnsi="Microsoft YaHei" w:eastAsia="Microsoft YaHei"/>
          <w:sz w:val="32"/>
        </w:rPr>
        <w:t>赠送权益和优惠券另算，避免把营销成本藏起来</w:t>
      </w:r>
    </w:p>
    <w:p>
      <w:pPr>
        <w:pStyle w:val="BodyText"/>
        <w:spacing w:after="60" w:line="324" w:lineRule="auto"/>
        <w:ind w:firstLine="420"/>
      </w:pPr>
      <w:r>
        <w:rPr>
          <w:rFonts w:ascii="Microsoft YaHei" w:hAnsi="Microsoft YaHei" w:eastAsia="Microsoft YaHei"/>
          <w:sz w:val="21"/>
        </w:rPr>
        <w:t>预存活动可能同时发券、返款或积分。它们激励客户复购，但来源和使用范围不同。后台优惠券示例有金额、领取后有效期、每人限领、满额门槛和叠加说明，这证明券本身是一套交易条件，并不等于现金充值。企业若规定“充值赠额可与满减券叠加”，试单必须算叠加后毛利；若不可叠加，手机端要让客户在提交前看见限制，免得充值后才发现预期权益用不了。赠送额度是否可退、退款时如何扣回已使用优惠，都应在活动上线前由经营和财务确定并告知客户。</w:t>
      </w:r>
    </w:p>
    <w:p>
      <w:pPr>
        <w:keepNext/>
        <w:jc w:val="center"/>
      </w:pPr>
      <w:r>
        <w:drawing>
          <wp:inline xmlns:a="http://schemas.openxmlformats.org/drawingml/2006/main" xmlns:pic="http://schemas.openxmlformats.org/drawingml/2006/picture">
            <wp:extent cx="3906174" cy="3657600"/>
            <wp:docPr id="5" name="Picture 5" descr="PC管理端优惠券详情显示领取后有效期使用门槛及叠加条件" title="PC管理端优惠券详情显示领取后有效期使用门槛及叠加条件"/>
            <wp:cNvGraphicFramePr>
              <a:graphicFrameLocks noChangeAspect="1"/>
            </wp:cNvGraphicFramePr>
            <a:graphic>
              <a:graphicData uri="http://schemas.openxmlformats.org/drawingml/2006/picture">
                <pic:pic>
                  <pic:nvPicPr>
                    <pic:cNvPr id="0" name="SC000907S1.png"/>
                    <pic:cNvPicPr/>
                  </pic:nvPicPr>
                  <pic:blipFill>
                    <a:blip r:embed="rId15"/>
                    <a:stretch>
                      <a:fillRect/>
                    </a:stretch>
                  </pic:blipFill>
                  <pic:spPr>
                    <a:xfrm>
                      <a:off x="0" y="0"/>
                      <a:ext cx="3906174" cy="3657600"/>
                    </a:xfrm>
                    <a:prstGeom prst="rect"/>
                  </pic:spPr>
                </pic:pic>
              </a:graphicData>
            </a:graphic>
          </wp:inline>
        </w:drawing>
      </w:r>
    </w:p>
    <w:p>
      <w:pPr>
        <w:spacing w:after="200"/>
        <w:jc w:val="center"/>
      </w:pPr>
      <w:r>
        <w:rPr>
          <w:rFonts w:ascii="Microsoft YaHei" w:hAnsi="Microsoft YaHei" w:eastAsia="Microsoft YaHei"/>
          <w:color w:val="596C78"/>
          <w:sz w:val="18"/>
        </w:rPr>
        <w:t>图5：优惠券是附条件营销权益；与预存款本金分开设规则、分开复核。</w:t>
      </w:r>
    </w:p>
    <w:p>
      <w:pPr>
        <w:pStyle w:val="BodyText"/>
        <w:spacing w:after="60" w:line="324" w:lineRule="auto"/>
        <w:ind w:firstLine="420"/>
      </w:pPr>
      <w:r>
        <w:rPr>
          <w:rFonts w:ascii="Microsoft YaHei" w:hAnsi="Microsoft YaHei" w:eastAsia="Microsoft YaHei"/>
          <w:sz w:val="21"/>
        </w:rPr>
        <w:t>到期设置也不能替代履约责任判断。优惠券是否到期、未消费的充值本金怎样处理、活动赠送权益何时失效，是不同问题。客户权益条款要清楚、可回查，必要时经法务财务复核；不要默认系统显示“活动结束”就可以把客户本金清零，更不能用未核实的余额冲当年度利润。若客户长期不消费，销售应了解其采购计划是否变化，必要时帮助客户安排适合的供货，而不是单方面把“不动的余额”当收入。</w:t>
      </w:r>
    </w:p>
    <w:p>
      <w:pPr>
        <w:pStyle w:val="Heading1"/>
        <w:keepNext/>
        <w:pageBreakBefore w:val="0"/>
        <w:spacing w:before="360" w:after="160"/>
      </w:pPr>
      <w:r>
        <w:rPr>
          <w:rFonts w:ascii="Microsoft YaHei" w:hAnsi="Microsoft YaHei" w:eastAsia="Microsoft YaHei"/>
          <w:sz w:val="32"/>
        </w:rPr>
        <w:t>活动复盘看净贡献和待履约余额，而不是看充值额排名</w:t>
      </w:r>
    </w:p>
    <w:p>
      <w:pPr>
        <w:pStyle w:val="BodyText"/>
        <w:spacing w:after="60" w:line="324" w:lineRule="auto"/>
        <w:ind w:firstLine="420"/>
      </w:pPr>
      <w:r>
        <w:rPr>
          <w:rFonts w:ascii="Microsoft YaHei" w:hAnsi="Microsoft YaHei" w:eastAsia="Microsoft YaHei"/>
          <w:sz w:val="21"/>
        </w:rPr>
        <w:t>按客户或客户群把实收充值、赠送权益、已用余额、尚未履约订单、退货退款和期末未用余额连起来，再与实际毛利、采购波动和配送费用比较。若充值量高但客户只买低毛利商品，还叠加券和急送，活动可能放大了工作量而非贡献；若客户持续按计划补货、现款采购且配送可合单，活动可能降低占款和获客成本。两种结果不能被“本月收到多少充值”一个指标盖住。</w:t>
      </w:r>
    </w:p>
    <w:p>
      <w:pPr>
        <w:pStyle w:val="BodyText"/>
        <w:spacing w:after="60" w:line="324" w:lineRule="auto"/>
        <w:ind w:firstLine="420"/>
      </w:pPr>
      <w:r>
        <w:rPr>
          <w:rFonts w:ascii="Microsoft YaHei" w:hAnsi="Microsoft YaHei" w:eastAsia="Microsoft YaHei"/>
          <w:sz w:val="21"/>
        </w:rPr>
        <w:t>复盘还要看客户体验。客户充值后，常购商品是否买得到，实到数量与订单是否一致，余额明细是否解释得清，退款是否按约及时处理。如果体验差，现金前置只是把未来争议也前置。对账差异集中在哪个环节，就修哪个环节：充值到账未登记、赠送规则误叠加、订单取消余额未回退、退货退款重复处理，或部分发货仍把全部订单算作完成。问题修正后再扩大充值活动，不把表面现金增长当成经营效率提升。</w:t>
      </w:r>
    </w:p>
    <w:p>
      <w:pPr>
        <w:keepNext/>
        <w:jc w:val="center"/>
      </w:pPr>
      <w:r>
        <w:drawing>
          <wp:inline xmlns:a="http://schemas.openxmlformats.org/drawingml/2006/main" xmlns:pic="http://schemas.openxmlformats.org/drawingml/2006/picture">
            <wp:extent cx="4297680" cy="2417444"/>
            <wp:docPr id="6" name="Picture 6" descr="充值活动从现金余额供货责任到净贡献的复盘口径" title="充值活动从现金余额供货责任到净贡献的复盘口径"/>
            <wp:cNvGraphicFramePr>
              <a:graphicFrameLocks noChangeAspect="1"/>
            </wp:cNvGraphicFramePr>
            <a:graphic>
              <a:graphicData uri="http://schemas.openxmlformats.org/drawingml/2006/picture">
                <pic:pic>
                  <pic:nvPicPr>
                    <pic:cNvPr id="0" name="充值经营复盘.png"/>
                    <pic:cNvPicPr/>
                  </pic:nvPicPr>
                  <pic:blipFill>
                    <a:blip r:embed="rId16"/>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图6：活动是否值得继续，要看交付后的真实贡献和仍欠客户的货与钱。</w:t>
      </w:r>
    </w:p>
    <w:p>
      <w:pPr>
        <w:pStyle w:val="Heading1"/>
        <w:keepNext/>
        <w:pageBreakBefore w:val="0"/>
        <w:spacing w:before="360" w:after="160"/>
      </w:pPr>
      <w:r>
        <w:rPr>
          <w:rFonts w:ascii="Microsoft YaHei" w:hAnsi="Microsoft YaHei" w:eastAsia="Microsoft YaHei"/>
          <w:sz w:val="32"/>
        </w:rPr>
        <w:t>先选一组客户试运行一个完整订货结算周期</w:t>
      </w:r>
    </w:p>
    <w:p>
      <w:pPr>
        <w:pStyle w:val="BodyText"/>
        <w:spacing w:after="60" w:line="324" w:lineRule="auto"/>
        <w:ind w:firstLine="420"/>
      </w:pPr>
      <w:r>
        <w:rPr>
          <w:rFonts w:ascii="Microsoft YaHei" w:hAnsi="Microsoft YaHei" w:eastAsia="Microsoft YaHei"/>
          <w:sz w:val="21"/>
        </w:rPr>
        <w:t>挑选有稳定采购规律的客户，统计他们过去一个周期的商品结构、付款方式和退货率。经营负责人确定实收与赠送额度、使用门槛、叠加边界和客户沟通文本；财务测算即使多数客户在两周内集中用完余额，采购和配送现金是否足够；采购确认重点SKU可供量。活动上线后，用代表客户试充值、余额抵扣、余额不足补款、整单取消、部分退货和券叠加，逐笔核客户页面、管理端流水和实际银行记录。一个路径不通，先缩小活动范围，不用客服手工改数字暂时遮住。</w:t>
      </w:r>
    </w:p>
    <w:p>
      <w:pPr>
        <w:pStyle w:val="BodyText"/>
        <w:spacing w:after="60" w:line="324" w:lineRule="auto"/>
        <w:ind w:firstLine="420"/>
      </w:pPr>
      <w:r>
        <w:rPr>
          <w:rFonts w:ascii="Microsoft YaHei" w:hAnsi="Microsoft YaHei" w:eastAsia="Microsoft YaHei"/>
          <w:sz w:val="21"/>
        </w:rPr>
        <w:t>周期结束时，不仅验活动带来多少现金，还要抽查每一笔典型业务能否从充值回到订单、出库、签收和结算；期末客户尚可使用多少余额，企业还有多少已收款未供货，实际交付后留下多少净贡献。若这些问题答不上来，即使充值金额翻倍也不应继续扩量。把现金、货和客户承诺对应起来，预存活动才是改善回款与复购的工具，而不是把未来供货成本藏进今天的漂亮报表。</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SC-000907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充值活动收到了现金，怎样核对未来供货责任而不把余额当利润｜云上订货系统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